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692" w:rsidRPr="00353A20" w:rsidRDefault="00872692" w:rsidP="00872692">
      <w:pPr>
        <w:tabs>
          <w:tab w:val="left" w:pos="426"/>
          <w:tab w:val="left" w:pos="2880"/>
        </w:tabs>
        <w:rPr>
          <w:rFonts w:ascii="Arial" w:hAnsi="Arial" w:cs="Arial"/>
          <w:sz w:val="20"/>
          <w:szCs w:val="20"/>
        </w:rPr>
      </w:pPr>
    </w:p>
    <w:tbl>
      <w:tblPr>
        <w:tblW w:w="13907" w:type="dxa"/>
        <w:tblInd w:w="55" w:type="dxa"/>
        <w:tblCellMar>
          <w:left w:w="70" w:type="dxa"/>
          <w:right w:w="70" w:type="dxa"/>
        </w:tblCellMar>
        <w:tblLook w:val="04A0"/>
      </w:tblPr>
      <w:tblGrid>
        <w:gridCol w:w="1071"/>
        <w:gridCol w:w="4293"/>
        <w:gridCol w:w="8543"/>
      </w:tblGrid>
      <w:tr w:rsidR="00872692" w:rsidRPr="00353A20" w:rsidTr="00872692">
        <w:trPr>
          <w:trHeight w:val="20"/>
        </w:trPr>
        <w:tc>
          <w:tcPr>
            <w:tcW w:w="1071" w:type="dxa"/>
            <w:tcBorders>
              <w:top w:val="single" w:sz="8" w:space="0" w:color="000000"/>
              <w:left w:val="single" w:sz="8" w:space="0" w:color="000000"/>
              <w:bottom w:val="single" w:sz="8" w:space="0" w:color="000000"/>
              <w:right w:val="single" w:sz="8" w:space="0" w:color="000000"/>
            </w:tcBorders>
            <w:shd w:val="clear" w:color="auto" w:fill="D9D9D9"/>
            <w:hideMark/>
          </w:tcPr>
          <w:p w:rsidR="00872692" w:rsidRPr="00353A20" w:rsidRDefault="00872692" w:rsidP="00872692">
            <w:pPr>
              <w:rPr>
                <w:rFonts w:ascii="Arial Narrow" w:hAnsi="Arial Narrow" w:cs="Arial"/>
                <w:b/>
                <w:bCs/>
                <w:sz w:val="18"/>
                <w:szCs w:val="18"/>
              </w:rPr>
            </w:pPr>
            <w:r w:rsidRPr="00353A20">
              <w:rPr>
                <w:rFonts w:ascii="Arial Narrow" w:hAnsi="Arial Narrow" w:cs="Arial"/>
                <w:b/>
                <w:bCs/>
                <w:sz w:val="18"/>
                <w:szCs w:val="18"/>
              </w:rPr>
              <w:t>OZNAKA OPPN / DPA</w:t>
            </w:r>
          </w:p>
        </w:tc>
        <w:tc>
          <w:tcPr>
            <w:tcW w:w="4293" w:type="dxa"/>
            <w:tcBorders>
              <w:top w:val="single" w:sz="8" w:space="0" w:color="000000"/>
              <w:left w:val="nil"/>
              <w:bottom w:val="single" w:sz="8" w:space="0" w:color="000000"/>
              <w:right w:val="nil"/>
            </w:tcBorders>
            <w:shd w:val="clear" w:color="auto" w:fill="D9D9D9"/>
            <w:hideMark/>
          </w:tcPr>
          <w:p w:rsidR="00872692" w:rsidRPr="00353A20" w:rsidRDefault="00872692" w:rsidP="00872692">
            <w:pPr>
              <w:rPr>
                <w:rFonts w:ascii="Arial Narrow" w:hAnsi="Arial Narrow" w:cs="Arial"/>
                <w:b/>
                <w:bCs/>
                <w:sz w:val="18"/>
                <w:szCs w:val="18"/>
              </w:rPr>
            </w:pPr>
            <w:r w:rsidRPr="00353A20">
              <w:rPr>
                <w:rFonts w:ascii="Arial Narrow" w:hAnsi="Arial Narrow" w:cs="Arial"/>
                <w:b/>
                <w:bCs/>
                <w:sz w:val="18"/>
                <w:szCs w:val="18"/>
              </w:rPr>
              <w:t>Posebni prostorski izvedbeni pogoji za območja OPPN in DPA</w:t>
            </w:r>
          </w:p>
        </w:tc>
        <w:tc>
          <w:tcPr>
            <w:tcW w:w="8543" w:type="dxa"/>
            <w:tcBorders>
              <w:top w:val="single" w:sz="8" w:space="0" w:color="000000"/>
              <w:left w:val="nil"/>
              <w:bottom w:val="single" w:sz="8" w:space="0" w:color="000000"/>
              <w:right w:val="single" w:sz="8" w:space="0" w:color="000000"/>
            </w:tcBorders>
            <w:shd w:val="clear" w:color="auto" w:fill="D9D9D9"/>
            <w:hideMark/>
          </w:tcPr>
          <w:p w:rsidR="00872692" w:rsidRPr="00353A20" w:rsidRDefault="00872692" w:rsidP="00872692">
            <w:pPr>
              <w:rPr>
                <w:rFonts w:ascii="Arial Narrow" w:hAnsi="Arial Narrow" w:cs="Arial"/>
                <w:b/>
                <w:bCs/>
                <w:sz w:val="18"/>
                <w:szCs w:val="18"/>
              </w:rPr>
            </w:pPr>
            <w:r w:rsidRPr="00353A20">
              <w:rPr>
                <w:rFonts w:ascii="Arial Narrow" w:hAnsi="Arial Narrow" w:cs="Arial"/>
                <w:b/>
                <w:bCs/>
                <w:sz w:val="18"/>
                <w:szCs w:val="18"/>
              </w:rPr>
              <w:t> </w:t>
            </w:r>
          </w:p>
        </w:tc>
      </w:tr>
      <w:tr w:rsidR="00872692" w:rsidRPr="00353A20" w:rsidTr="00872692">
        <w:trPr>
          <w:trHeight w:val="20"/>
        </w:trPr>
        <w:tc>
          <w:tcPr>
            <w:tcW w:w="1071" w:type="dxa"/>
            <w:tcBorders>
              <w:top w:val="nil"/>
              <w:left w:val="single" w:sz="8" w:space="0" w:color="000000"/>
              <w:bottom w:val="nil"/>
              <w:right w:val="nil"/>
            </w:tcBorders>
            <w:shd w:val="clear" w:color="000000" w:fill="A6A6A6"/>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JV-43</w:t>
            </w:r>
          </w:p>
        </w:tc>
        <w:tc>
          <w:tcPr>
            <w:tcW w:w="4293" w:type="dxa"/>
            <w:tcBorders>
              <w:top w:val="nil"/>
              <w:left w:val="single" w:sz="8" w:space="0" w:color="000000"/>
              <w:bottom w:val="single" w:sz="8" w:space="0" w:color="000000"/>
              <w:right w:val="single" w:sz="8" w:space="0" w:color="000000"/>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nil"/>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ureditev turistične kmetije Gracar na Stari Gori pri Velikem Gabru</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single" w:sz="8" w:space="0" w:color="000000"/>
              <w:left w:val="single" w:sz="4"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JV-43</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nil"/>
              <w:left w:val="single" w:sz="4"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single" w:sz="8" w:space="0" w:color="000000"/>
              <w:left w:val="single" w:sz="8" w:space="0" w:color="000000"/>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JV-43</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single" w:sz="8" w:space="0" w:color="000000"/>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nil"/>
              <w:left w:val="single" w:sz="4"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A (SKs)</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4"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AE, D, C</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4"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0,8</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4"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0,3</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4"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10%</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4"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4"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Zahtevne, manj zahtevne, nezahtevne in enostavne objekte naj se v prostor umešča skladno z obstoječo morfologijo poselitvenega vzorca. Na zemljišču namenjenem za gradnjo stavbe je treba zasaditi vsaj 2 drevesi (dovoljene so avtohtone drevesne vrste).</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rsidTr="00872692">
        <w:trPr>
          <w:trHeight w:val="20"/>
        </w:trPr>
        <w:tc>
          <w:tcPr>
            <w:tcW w:w="1071" w:type="dxa"/>
            <w:tcBorders>
              <w:top w:val="nil"/>
              <w:left w:val="single" w:sz="8" w:space="0" w:color="000000"/>
              <w:bottom w:val="single" w:sz="8" w:space="0" w:color="000000"/>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8" w:space="0" w:color="000000"/>
              <w:right w:val="single" w:sz="8" w:space="0" w:color="000000"/>
            </w:tcBorders>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4"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 se posredno navezuje na javno pot JP709210 OBLA GORICA-STARA GORA.</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JV-45</w:t>
            </w:r>
          </w:p>
        </w:tc>
        <w:tc>
          <w:tcPr>
            <w:tcW w:w="4293" w:type="dxa"/>
            <w:tcBorders>
              <w:top w:val="nil"/>
              <w:left w:val="nil"/>
              <w:bottom w:val="single" w:sz="8" w:space="0" w:color="000000"/>
              <w:right w:val="single" w:sz="8" w:space="0" w:color="000000"/>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kamnolom Ježce Z  - Lopaška dolina</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 odkopnih teras naj ne presega 7,5 m.</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Na osnovi strokovnih podlag je potrebno v OPPN opredeliti: faznost izkoriščanja mineralnih surovin na območjih širitve kamnoloma, sprotno sanacijo površin, kjer se je izkoriščanje že zaključilo glede na predhodno opredeljeno faznost sanacije, maksimalen obseg izkoriščanja oz. skrajno, z varstvenih vidikov še sprejemljivo, mejo izkoriščanja mineralnih surovin na predmetni lokaciji. Zaradi bližine stanovanjskih območij je potrebno prilagoditi dinamiko širjenja odkopnega polja kamnolomov v EUP JV_54 in JV_55. Dinamika širjenja ne sme povzročiti kumulativnih vplivov na bližnja stanovanjska območja (npr. v obeh kamnolomih ne more istočasno potekati miniranje). Območje predvidenega OPPN-ja sega v vodovarstveno območje režima 2 in 3. Posegi so dopustni le ob doslednem upoštevanju omejitev in pogojev iz veljavnih državnih in občinskih predpisov o </w:t>
            </w:r>
            <w:r w:rsidRPr="00353A20">
              <w:rPr>
                <w:rFonts w:ascii="Arial Narrow" w:hAnsi="Arial Narrow" w:cs="Arial"/>
                <w:sz w:val="18"/>
                <w:szCs w:val="18"/>
              </w:rPr>
              <w:lastRenderedPageBreak/>
              <w:t xml:space="preserve">zavarovanju vodnih virov in ob predhodni pridobitvi vodnega soglasja. </w:t>
            </w:r>
          </w:p>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Enota urejanja prostora posega na območje poplavne nevarnosti. Na poplavnem območju so prepovedane vse dejavnosti in vsi posegi v prostor, ki imajo lahko ob poplavi škodljiv vpliv na vode vpliv na vode, vodna ali priobalna zemljišča ali povečujejo poplavno ogroženost območja, razen posegov, ki so namenjeni varstvu pred škodljivim delovanjem voda. </w:t>
            </w:r>
          </w:p>
          <w:p w:rsidR="00872692" w:rsidRPr="00353A20" w:rsidRDefault="00872692" w:rsidP="00872692">
            <w:pPr>
              <w:rPr>
                <w:rFonts w:ascii="Arial Narrow" w:hAnsi="Arial Narrow" w:cs="Calibri"/>
                <w:sz w:val="18"/>
                <w:szCs w:val="18"/>
              </w:rPr>
            </w:pPr>
            <w:r w:rsidRPr="00353A20">
              <w:rPr>
                <w:rFonts w:ascii="Arial Narrow" w:hAnsi="Arial Narrow" w:cs="Arial"/>
                <w:sz w:val="18"/>
                <w:szCs w:val="18"/>
              </w:rPr>
              <w:t xml:space="preserve">Izvajanje dejavnosti na poplavnem območju je potrebno prilagoditi pogojem in omejitvam, ki jih določajo predpisi s področja zaščite pred poplavami in z njimi povezane erozije voda. </w:t>
            </w:r>
            <w:r w:rsidRPr="00353A20">
              <w:rPr>
                <w:rFonts w:ascii="Arial Narrow" w:hAnsi="Arial Narrow" w:cs="Calibri"/>
                <w:sz w:val="18"/>
                <w:szCs w:val="18"/>
              </w:rPr>
              <w:t xml:space="preserve">Za vsak poseg na poplavnem območju, se mora predhodno pridobiti vodno soglasje/mnenje o vplivu gradnje na vodni režim in stanje voda. </w:t>
            </w:r>
          </w:p>
          <w:p w:rsidR="00872692" w:rsidRPr="00353A20" w:rsidRDefault="00872692" w:rsidP="00872692">
            <w:pPr>
              <w:rPr>
                <w:rFonts w:ascii="Arial Narrow" w:hAnsi="Arial Narrow" w:cs="Arial"/>
                <w:sz w:val="18"/>
                <w:szCs w:val="18"/>
              </w:rPr>
            </w:pPr>
            <w:r w:rsidRPr="00353A20">
              <w:rPr>
                <w:rFonts w:ascii="Arial Narrow" w:hAnsi="Arial Narrow" w:cs="Calibri"/>
                <w:sz w:val="18"/>
                <w:szCs w:val="18"/>
              </w:rPr>
              <w:t>Pred načrtovanimi posegi in gradnjo je potrebno izdelati hidrološko-hidravlično študijo in upoštevati vse razpoložljive podatke.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lastRenderedPageBreak/>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 se navezuje na lokalno cesto LC426110 BIČ-V.GABER-STRANJE-D.VRH-SEVNO-KOPAČIJA-JEŽCE-LUPINICA-M-KOSTR. Po končanem izkoriščanju je potrebno dostopne ceste obnoviti (v primeru neustreznosti zaradi obremenitev tovornih vozil).</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JV-46, JV-47, JV-48, JV-49</w:t>
            </w:r>
          </w:p>
        </w:tc>
        <w:tc>
          <w:tcPr>
            <w:tcW w:w="4293" w:type="dxa"/>
            <w:tcBorders>
              <w:top w:val="nil"/>
              <w:left w:val="nil"/>
              <w:bottom w:val="single" w:sz="8" w:space="0" w:color="000000"/>
              <w:right w:val="single" w:sz="8" w:space="0" w:color="000000"/>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kamnolom Ježce V - Kamniška dolina</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JV-46, JV-47, JV-48, JV-49</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JV-46, JV-47, JV-48, JV-49</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 odkopnih teras naj ne presega 7,5 m.</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se ureja z Odlokom o občinskem podrobnem prostorskem načrtu za širitev in sanacijo kamnoloma Kepa v Ježcah v Občini Šmartno pri Litiji (Ur.</w:t>
            </w:r>
            <w:r>
              <w:rPr>
                <w:rFonts w:ascii="Arial Narrow" w:hAnsi="Arial Narrow" w:cs="Arial"/>
                <w:sz w:val="18"/>
                <w:szCs w:val="18"/>
              </w:rPr>
              <w:t xml:space="preserve"> </w:t>
            </w:r>
            <w:r w:rsidRPr="00353A20">
              <w:rPr>
                <w:rFonts w:ascii="Arial Narrow" w:hAnsi="Arial Narrow" w:cs="Arial"/>
                <w:sz w:val="18"/>
                <w:szCs w:val="18"/>
              </w:rPr>
              <w:t>l. RS, št. 67/08), ki ga potrebno za območja sprememb namenske rabe prostora v okviru izvedbenega dela občinskega prostorskega načrta, dopolniti. Na osnovi strokovnih podlag je potrebno v dopolnitvi OPPN opredeliti: faznost izkoriščanja mineralnih surovin na območjih širitve kamnoloma, sprotno sanacijo površin, kjer se je izkoriščanje že zaključilo glede na predhodno opredeljeno faznost sanacije, maksimalen obseg izkoriščanja oz. skrajno, z varstvenih vidikov še sprejemljivo,  mejo izkoriščanja mineralnih surovin na predmetni lokaciji. Zaradi bližine stanovanjskih območij je potrebno prilagoditi dinamiko širjenja odkopnega polja kamnolomov v EUP JV_54 in JV_55 (vključno z  JV_55_1-JV_55_3). Dinamika širjenja ne sme povzročiti kumulativnih vplivov na bližnja stanovanjska območja (npr. v obeh kamnolomih ne more istočasno potekati miniranje).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 se navezuje na lokalno cesto LC426110 BIČ-V.GABER-STRANJE-D.VRH-SEVNO-KOPAČIJA-JEŽCE-LUPINICA-M-KOSTR. Po končanem izkoriščanju je potrebno dostopne ceste obnoviti (v primeru neustreznosti zaradi obremenitev tovornih vozil).</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JV-50</w:t>
            </w:r>
          </w:p>
        </w:tc>
        <w:tc>
          <w:tcPr>
            <w:tcW w:w="4293" w:type="dxa"/>
            <w:tcBorders>
              <w:top w:val="nil"/>
              <w:left w:val="nil"/>
              <w:bottom w:val="single" w:sz="8" w:space="0" w:color="000000"/>
              <w:right w:val="single" w:sz="8" w:space="0" w:color="000000"/>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kamnolom Vetrnik (Ježce)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JV-50</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lastRenderedPageBreak/>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JV-50</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 odkopnih teras naj ne presega 7,5 m.</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 osnovi strokovnih podlag je potrebno v OPPN opredeliti: faznost izkoriščanja mineralnih surovin na območjih širitve kamnoloma, sprotno sanacijo površin, kjer se je izkoriščanje že zaključilo glede na predhodno opredeljeno faznost sanacije, maksimalen obseg izkoriščanja oz. skrajno, z varstvenih vidikov še sprejemljivo, mejo izkoriščanja mineralnih surovin na predmetni lokaciji.</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 se navezuje na lokalno cesto LC426110 BIČ-V.GABER-STRANJE-D.VRH-SEVNO-KOPAČIJA-JEŽCE-LUPINICA-M-KOSTR. Po končanem izkoriščanju je potrebno dostopne ceste obnoviti (v primeru neustreznosti zaradi obremenitev tovornih vozil).</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 LB-2</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gradu Bogenšperk</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 LB-2</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da</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LB_2, LB_2_1</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CDk; PC; K2; G, IK</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CDk (AE, D, G)</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30%</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Za morebitne novogradnje v EUP LB_2 (na parcelah ali delih parcel s podrobneje opredeljeno podrobnejšo namensko rabo prostora CDk:  1963, 1964,1965/7, 1965/9, 1965/11, 1965/12, vse k.o Liberga) je obvezen odmik objektov od gozdnega roba za sestojno višino dreves, razen za obstoječe objekte kulturne dediščine in predvidene površine za mirujoči promet. Na parceli 1939/2, k.o. Liberga se predvidi ureditev površin za mirujoči promet, lahko tudi v obliki makadamskega parkirišča z ustreznim odvodnjavanjem. Parkirišče naj se v čim večji meri ozeleni z avtohtono drevesno vegetacijo. Za krajinsko ureditev območja je potrebno izdelati krajinski načrt. Če se izdeluje projekt za pridobitev gradbenega dovoljenja na samem objektu kulturne dediščine ali območju kulturne dediščine ali se posega v območje kulturne dediščine, je treba pred začetkom izdelovanja projekta pridobiti kulturnovarstvene pogoje ter k projektnim rešitvam tudi kuturnovarstveno soglasje za vso evidentirano kulturno dediščino. Urbana oprema naj se oblikuje celovito in mora biti poenotena za celotno na območje OPPN. Prav tako velja za uporabo materialov na območju odprtega prostora OPPN. Območje obstoječih površin za mirujoči promet se nameni za vstopno ozelenjeno alejo do območja gradu. Pred pripravo projekta za pridobivanje gradbenega dovoljenja oziroma pred gradnjo na arheološkem območju je potrebno izvesti predhodne arheološke raziskave. Arhitekturno oblikovanje novih objektov se mora v neposredni bližini profane stavbne dediščine prilagoditi arhitekturi profane stavbne dediščine. Območje predvidenega OPPN-ja sega v vodovarstveno območje režima 2 in 3. Posegi so dopustni le ob doslednem upoštevanju omejitev in pogojev iz veljavnih državnih in občinskih predpisov o zavarovanju vodnih virov in ob predhodni pridobitvi vodnega soglasja.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navezava na regionalno cesto R2 - 416 SMARTNO-RADOHOVA VAS; površine v enoti urejanja prostora LB_3 so namenjene gradnji ozelenjenega parkirišča za potrebe delovanja Javnega zavoda Bogenšperk</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p>
        </w:tc>
        <w:tc>
          <w:tcPr>
            <w:tcW w:w="4293" w:type="dxa"/>
            <w:tcBorders>
              <w:top w:val="nil"/>
              <w:left w:val="nil"/>
              <w:bottom w:val="single" w:sz="8" w:space="0" w:color="000000"/>
              <w:right w:val="single" w:sz="8" w:space="0" w:color="000000"/>
            </w:tcBorders>
            <w:shd w:val="clear" w:color="000000" w:fill="A6A6A6"/>
            <w:noWrap/>
            <w:vAlign w:val="center"/>
            <w:hideMark/>
          </w:tcPr>
          <w:p w:rsidR="00872692" w:rsidRPr="00353A20" w:rsidRDefault="00872692" w:rsidP="00872692">
            <w:pPr>
              <w:rPr>
                <w:rFonts w:ascii="Arial Narrow" w:hAnsi="Arial Narrow" w:cs="Arial"/>
                <w:sz w:val="18"/>
                <w:szCs w:val="18"/>
              </w:rPr>
            </w:pPr>
          </w:p>
        </w:tc>
        <w:tc>
          <w:tcPr>
            <w:tcW w:w="8543" w:type="dxa"/>
            <w:tcBorders>
              <w:top w:val="nil"/>
              <w:left w:val="nil"/>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single" w:sz="4" w:space="0" w:color="000000"/>
              <w:left w:val="nil"/>
              <w:bottom w:val="nil"/>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single" w:sz="8" w:space="0" w:color="000000"/>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single" w:sz="8"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single" w:sz="8" w:space="0" w:color="000000"/>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single" w:sz="8" w:space="0" w:color="000000"/>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p>
        </w:tc>
        <w:tc>
          <w:tcPr>
            <w:tcW w:w="4293" w:type="dxa"/>
            <w:tcBorders>
              <w:top w:val="nil"/>
              <w:left w:val="nil"/>
              <w:bottom w:val="single" w:sz="8"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p>
        </w:tc>
        <w:tc>
          <w:tcPr>
            <w:tcW w:w="8543" w:type="dxa"/>
            <w:tcBorders>
              <w:top w:val="single" w:sz="4" w:space="0" w:color="000000"/>
              <w:left w:val="single" w:sz="4"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LB-103</w:t>
            </w:r>
          </w:p>
        </w:tc>
        <w:tc>
          <w:tcPr>
            <w:tcW w:w="4293" w:type="dxa"/>
            <w:tcBorders>
              <w:top w:val="nil"/>
              <w:left w:val="nil"/>
              <w:bottom w:val="single" w:sz="8" w:space="0" w:color="000000"/>
              <w:right w:val="single" w:sz="8" w:space="0" w:color="000000"/>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kamnolom Draga</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LB-103</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LB-103</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 PC</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 odkopnih teras naj ne presega 7,5 m.</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Na osnovi strokovnih podlag je potrebno v OPPN opredeliti: faznost izkoriščanja mineralnih surovin na območjih širitve kamnoloma, sprotno sanacijo površin, kjer se je izkoriščanje že zaključilo glede na predhodno opredeljeno faznost sanacije, maksimalen obseg izkoriščanja oz. skrajno, z varstvenih vidikov še sprejemljivo, mejo izkoriščanja mineralnih surovin na predmetni lokaciji. Območje predvidenega OPPN-ja sega v vodovarstveno območje režima 2 in 3. Posegi so dopustni le ob doslednem upoštevanju omejitev in pogojev iz veljavnih državnih in občinskih predpisov o zavarovanju vodnih virov in ob predhodni pridobitvi vodnega soglasja.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Po končanem izkoriščanju je potrebno dostopne ceste obnoviti (v primeru neustreznosti zaradi obremenitev težkih tovornih vozil). Območje OPPN se navezuje na javno pot JP709330 RODNI VRH-DRAGA-CEROVICA.</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LB-104</w:t>
            </w:r>
          </w:p>
        </w:tc>
        <w:tc>
          <w:tcPr>
            <w:tcW w:w="4293" w:type="dxa"/>
            <w:tcBorders>
              <w:top w:val="nil"/>
              <w:left w:val="nil"/>
              <w:bottom w:val="single" w:sz="8" w:space="0" w:color="000000"/>
              <w:right w:val="single" w:sz="8" w:space="0" w:color="000000"/>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kamnolom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LB-104</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LB-104</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 PC</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 odkopnih teras naj ne presega 7,5 m.</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 osnovi strokovnih podlag je potrebno v OPPN opredeliti: faznost izkoriščanja mineralnih surovin na območjih širitve kamnoloma, sprotno sanacijo površin, kjer se je izkoriščanje že zaključilo glede na predhodno opredeljeno faznost sanacije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Po končanem izkoriščanju je potrebno dostopne ceste obnoviti (v primeru neustreznosti zaradi obremenitev težkih tovornih vozil). Območje OPPN se navezuje na javno pot JP709330 RODNI VRH-DRAGA-CEROVICA.</w:t>
            </w:r>
          </w:p>
        </w:tc>
      </w:tr>
      <w:tr w:rsidR="00872692" w:rsidRPr="00353A20" w:rsidTr="00872692">
        <w:trPr>
          <w:trHeight w:val="20"/>
        </w:trPr>
        <w:tc>
          <w:tcPr>
            <w:tcW w:w="1071" w:type="dxa"/>
            <w:tcBorders>
              <w:top w:val="single" w:sz="4" w:space="0" w:color="000000"/>
              <w:left w:val="single" w:sz="8" w:space="0" w:color="000000"/>
              <w:bottom w:val="nil"/>
              <w:right w:val="nil"/>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LB-33</w:t>
            </w:r>
          </w:p>
        </w:tc>
        <w:tc>
          <w:tcPr>
            <w:tcW w:w="4293" w:type="dxa"/>
            <w:tcBorders>
              <w:top w:val="nil"/>
              <w:left w:val="single" w:sz="8" w:space="0" w:color="000000"/>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Stanovanjske površine na območju Velike Kostrevnice (OLN za območje individualne gradnje na območju osrednje urbane aglomeracije Velika Kostrevnica - VK 2)</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LB-33</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single" w:sz="8" w:space="0" w:color="000000"/>
              <w:left w:val="single" w:sz="8" w:space="0" w:color="000000"/>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LB-33</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single" w:sz="8" w:space="0" w:color="000000"/>
              <w:left w:val="single" w:sz="8" w:space="0" w:color="000000"/>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SSs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AE, D</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0,5</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0,3</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10%</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se ureja z Odlokom o občinskem lokacijskem načrtu za območje individualne gradnje na območju osrednje urbane aglomeracije Velika Kostrevnica - VK 2 (Ur.l.RS št. 59/07)</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p>
        </w:tc>
        <w:tc>
          <w:tcPr>
            <w:tcW w:w="4293" w:type="dxa"/>
            <w:tcBorders>
              <w:top w:val="nil"/>
              <w:left w:val="single" w:sz="8" w:space="0" w:color="000000"/>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single" w:sz="4" w:space="0" w:color="000000"/>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LB-34</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Stanovanjske površine na območju Velike Kostrevnice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LB-34</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LB-34</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(AE, D)</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0,3</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10%</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P+1+M</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priključitev območja na lokalno cesto LC208210 V.KOSTREVNICA-LIBERGA-PRESKA-TISJE (EUP ŠP_19).</w:t>
            </w:r>
          </w:p>
        </w:tc>
      </w:tr>
      <w:tr w:rsidR="00872692" w:rsidRPr="00353A20" w:rsidTr="00872692">
        <w:trPr>
          <w:trHeight w:val="20"/>
        </w:trPr>
        <w:tc>
          <w:tcPr>
            <w:tcW w:w="1071" w:type="dxa"/>
            <w:tcBorders>
              <w:top w:val="single" w:sz="8" w:space="0" w:color="000000"/>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LB-78</w:t>
            </w:r>
          </w:p>
        </w:tc>
        <w:tc>
          <w:tcPr>
            <w:tcW w:w="4293" w:type="dxa"/>
            <w:tcBorders>
              <w:top w:val="single" w:sz="8" w:space="0" w:color="000000"/>
              <w:left w:val="nil"/>
              <w:bottom w:val="single" w:sz="8" w:space="0" w:color="000000"/>
              <w:right w:val="single" w:sz="8" w:space="0" w:color="000000"/>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single" w:sz="8" w:space="0" w:color="000000"/>
              <w:left w:val="nil"/>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vas Liberga</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LB-78</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variantih rešitev</w:t>
            </w:r>
          </w:p>
        </w:tc>
        <w:tc>
          <w:tcPr>
            <w:tcW w:w="8543" w:type="dxa"/>
            <w:tcBorders>
              <w:top w:val="single" w:sz="4" w:space="0" w:color="000000"/>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LB-78</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SKs</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AE, C, D</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0,6</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0,4</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15%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P+M ali P+1+M s kolenčnim zidom največ 1 meter v celoti skritim pod napuščem</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b/>
                <w:bCs/>
                <w:sz w:val="18"/>
                <w:szCs w:val="18"/>
              </w:rPr>
            </w:pPr>
            <w:r w:rsidRPr="00353A20">
              <w:rPr>
                <w:rFonts w:ascii="Arial Narrow" w:hAnsi="Arial Narrow" w:cs="Arial"/>
                <w:b/>
                <w:bCs/>
                <w:sz w:val="18"/>
                <w:szCs w:val="18"/>
              </w:rPr>
              <w:t xml:space="preserve">Ob pripravi OPPN je potrebno izdelati konzervatorski načrt za prenovo vasi. </w:t>
            </w:r>
            <w:r w:rsidRPr="00353A20">
              <w:rPr>
                <w:rFonts w:ascii="Arial Narrow" w:hAnsi="Arial Narrow" w:cs="Arial"/>
                <w:sz w:val="18"/>
                <w:szCs w:val="18"/>
              </w:rPr>
              <w:t xml:space="preserve">                      Ob načrtovanju grajene strukture v območjih naselbinske kulturne dediščine je potrebno upoštevati naslednje usmeritve:- Tlorisni in gabariti: podolžen tloris</w:t>
            </w:r>
            <w:r w:rsidRPr="00353A20">
              <w:rPr>
                <w:rFonts w:ascii="Arial Narrow" w:hAnsi="Arial Narrow" w:cs="Arial"/>
                <w:sz w:val="18"/>
                <w:szCs w:val="18"/>
              </w:rPr>
              <w:br/>
              <w:t>- Strehe – simetrične dvokapnice z nakloni 40 do 45 °, kritina temno siva betonska ali opečno rdeča;</w:t>
            </w:r>
            <w:r w:rsidRPr="00353A20">
              <w:rPr>
                <w:rFonts w:ascii="Arial Narrow" w:hAnsi="Arial Narrow" w:cs="Arial"/>
                <w:sz w:val="18"/>
                <w:szCs w:val="18"/>
              </w:rPr>
              <w:br/>
              <w:t>- Osvetlitev podstrehe možna s klasično oblikovanimi frčadami ali pultnimi okni;</w:t>
            </w:r>
            <w:r w:rsidRPr="00353A20">
              <w:rPr>
                <w:rFonts w:ascii="Arial Narrow" w:hAnsi="Arial Narrow" w:cs="Arial"/>
                <w:sz w:val="18"/>
                <w:szCs w:val="18"/>
              </w:rPr>
              <w:br/>
              <w:t>- Oblikovanje fasad:</w:t>
            </w:r>
            <w:r w:rsidRPr="00353A20">
              <w:rPr>
                <w:rFonts w:ascii="Arial Narrow" w:hAnsi="Arial Narrow" w:cs="Arial"/>
                <w:sz w:val="18"/>
                <w:szCs w:val="18"/>
              </w:rPr>
              <w:br/>
              <w:t>• Balkoni na čelnih ožjih fasadah načelno niso dopustni; možna izvedba po celotni dolžini vzdolžne fasade (lesen gank);</w:t>
            </w:r>
            <w:r w:rsidRPr="00353A20">
              <w:rPr>
                <w:rFonts w:ascii="Arial Narrow" w:hAnsi="Arial Narrow" w:cs="Arial"/>
                <w:sz w:val="18"/>
                <w:szCs w:val="18"/>
              </w:rPr>
              <w:br/>
              <w:t>• Okenske in vratne odprtine morajo biti pokončne, pravokotne in simetrično razporejene;</w:t>
            </w:r>
            <w:r w:rsidRPr="00353A20">
              <w:rPr>
                <w:rFonts w:ascii="Arial Narrow" w:hAnsi="Arial Narrow" w:cs="Arial"/>
                <w:sz w:val="18"/>
                <w:szCs w:val="18"/>
              </w:rPr>
              <w:br/>
              <w:t>• Okenska stekla naj bodo deljena na 6 pol;</w:t>
            </w:r>
            <w:r w:rsidRPr="00353A20">
              <w:rPr>
                <w:rFonts w:ascii="Arial Narrow" w:hAnsi="Arial Narrow" w:cs="Arial"/>
                <w:sz w:val="18"/>
                <w:szCs w:val="18"/>
              </w:rPr>
              <w:br/>
              <w:t>• Izvedba v zaglajenem ometu svetlih pastelnih barv;</w:t>
            </w:r>
            <w:r w:rsidRPr="00353A20">
              <w:rPr>
                <w:rFonts w:ascii="Arial Narrow" w:hAnsi="Arial Narrow" w:cs="Arial"/>
                <w:sz w:val="18"/>
                <w:szCs w:val="18"/>
              </w:rPr>
              <w:br/>
              <w:t>• Gradnja večkotnih izzidkov, stolpičev ni dovoljena;</w:t>
            </w:r>
            <w:r w:rsidRPr="00353A20">
              <w:rPr>
                <w:rFonts w:ascii="Arial Narrow" w:hAnsi="Arial Narrow" w:cs="Arial"/>
                <w:sz w:val="18"/>
                <w:szCs w:val="18"/>
              </w:rPr>
              <w:br/>
              <w:t>- Uporaba avtohtonih gradiv (les, kamen) v čim večji meri;</w:t>
            </w:r>
            <w:r w:rsidRPr="00353A20">
              <w:rPr>
                <w:rFonts w:ascii="Arial Narrow" w:hAnsi="Arial Narrow" w:cs="Arial"/>
                <w:sz w:val="18"/>
                <w:szCs w:val="18"/>
              </w:rPr>
              <w:br/>
              <w:t>- Lokacija stavbe na parceli mora biti skladna z zazidalno strukturo naselja;</w:t>
            </w:r>
            <w:r w:rsidRPr="00353A20">
              <w:rPr>
                <w:rFonts w:ascii="Arial Narrow" w:hAnsi="Arial Narrow" w:cs="Arial"/>
                <w:sz w:val="18"/>
                <w:szCs w:val="18"/>
              </w:rPr>
              <w:br/>
              <w:t>- Izvedba daljnovodov in drugih vodov v neposredni bližini varovanih naselij načeloma ni dopustna;</w:t>
            </w:r>
            <w:r w:rsidRPr="00353A20">
              <w:rPr>
                <w:rFonts w:ascii="Arial Narrow" w:hAnsi="Arial Narrow" w:cs="Arial"/>
                <w:sz w:val="18"/>
                <w:szCs w:val="18"/>
              </w:rPr>
              <w:br/>
              <w:t>- Pri posegih v poti ni dopustno višanje terena v odnosu do stavbne dediščine;</w:t>
            </w:r>
            <w:r w:rsidRPr="00353A20">
              <w:rPr>
                <w:rFonts w:ascii="Arial Narrow" w:hAnsi="Arial Narrow" w:cs="Arial"/>
                <w:sz w:val="18"/>
                <w:szCs w:val="18"/>
              </w:rPr>
              <w:br/>
              <w:t>- Izvedba plinskih, elektro in ostalih omaric na obcestnih oziroma glavnih fasadah ni dopustna; možna je izvedba v hodniku ali talna izvedba. Upoštevati je treba barvo stavbe;</w:t>
            </w:r>
            <w:r w:rsidRPr="00353A20">
              <w:rPr>
                <w:rFonts w:ascii="Arial Narrow" w:hAnsi="Arial Narrow" w:cs="Arial"/>
                <w:sz w:val="18"/>
                <w:szCs w:val="18"/>
              </w:rPr>
              <w:br/>
              <w:t>- Izvedba satelitskih anten na vidnih mestih ni dopustna, kar velja tudi za postavljanje zunanjih enot klimatskih naprav.</w:t>
            </w:r>
            <w:r w:rsidRPr="00353A20">
              <w:rPr>
                <w:rFonts w:ascii="Arial Narrow" w:hAnsi="Arial Narrow" w:cs="Arial"/>
                <w:sz w:val="18"/>
                <w:szCs w:val="18"/>
              </w:rPr>
              <w:br/>
              <w:t>V historičnih jedrih naselij so dopustne dopolnilne gradnje in  gradnje na isti lokaciji. Slednje naj bi sanirale območja, zato tudi zanje veljajo navedene usmeritve, da bi skozi čas vzpostavili enotno identiteto območja. Za gradnjo nezahtevnih in enostavnih objektov veljajo v odloku navedene splošne usmeritve za varstvo kulturne dediščine.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vasi Liberga se preko javne poti navezuje na lokalno cesto LC 208211 V.KOSTREVNICA-LIBERGA-PRESKA-TISJE.</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ŠM-14</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centralnih dejavnosti s parkom - Šmartno vzhod ob obvoznici</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ŠM-14</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nil"/>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da</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ŠM-14</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 CDk, ZP, VC, PO, PC</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 (BV, G), CDk (G)</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 P+3</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stanovanjska raba s poslovnimi dejavnostmi, zagotovitev peš in kolesarske povezave območij ŠM_16 (CDi) in ŠM_15 (CDk) z mestnim jedrom; revitalizacija brežin vodotoka, parkovna ureditev v povezavi z vodotokom, ureditev brvi čez vodotok; ureditev in ozelenitev javnega parkirišča; za odprte zelene in vodne površine je potrebno izdelati krajinski načrt; pridobitev vodnega soglasja; OPPN mora biti izdelan za celotno območje in ga ni možno deliti na več delov; gradnja stavb na območju OPPN je dovoljena ob predhodni komunalni opremljenosti in javni prometni dostopnosti; ob spomeniku je treba ohranjati parkovno urejene zelene površine; arhitekturno oblikovanje novih objektov se mora v neposredni bližini profane stavbne dediščine prilagoditi arhitekturi profane stavbne dediščine.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S od vodotoka Reka se bo preko javne poti JP710770 navezovalo na regionalno cesto R2-416; območje J od vodotoka Reka se bo navezovalo na R2-416 – LITIJA-ŠMARTNO-RADOHOVA VAS-GRM-BIČ; v okviru priprave OPPN je potrebno obravnavati tudi rekonstrukcijo javne poti JP710770 v skladu s predvideno prometno obremenitvijo zaradi načrtovanih novih stavb; na območju OPPN je obvezna izgradnja javnega parkirišča pred začetkom obratovanja dejavnosti.</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ŠM-20</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Centralne dejavnosti - Šmartno zahod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ŠM-20</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nil"/>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ŠM-20</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 PC</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 (AE, D)</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0,9</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0,8</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10%</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največ P+1+M ali v celoti vkopana klet (K+P+1+M)</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gradnja stavb na območju OPPN je dovoljena ob predhodni komunalni opremljenosti in javni prometni dostopnosti.</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 ureditvi priključkov posameznih zemljišč namenjenih za gradnjo je potrebno zagotavljati primerno širino javne poti JP 710851 (odsek Do pokopališča) za ostali promet in dostopnost do pokopališča. Območje se bo priključevalo na regionalno cesto R3 - 645 (odsek  1189) in na javno pot JP 710851 (odsek Do pokopališča).</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ŠM-21</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Javno parkirišče Šmartno zahod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ŠM-21</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ŠM-21</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PO</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parkirišče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Parkirne površine na nivoju terena, ki so večje od 10 PM je treba ozeleniti. Drevesna gostota je eno drevo na 4 PM. Drevesa morajo biti po parkirišču čimbolj enakomerno razporejena Za ozelenitev parkirišča  se uporabi avtohtona visokodebelna drevesa.</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Površine se namenja za gradnjo javnega parkirišča za potrebe pokopališča in poslovnih ter proizvodnih dejavnosti v soseščini. Površine za mirujoči promet naj se navezujejo na regionalno cesto R3 - 645 (odsek  1189) in na javno pot JP 710851 (odsek Do pokopališča).</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ŠM-24</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Centralne dejavnosti Šmartno ob zahodni gospodarski coni</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ŠM-24</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hideMark/>
          </w:tcPr>
          <w:p w:rsidR="00872692" w:rsidRPr="00353A20" w:rsidRDefault="00872692" w:rsidP="00872692">
            <w:pPr>
              <w:rPr>
                <w:rFonts w:ascii="Arial Narrow" w:hAnsi="Arial Narrow" w:cs="Arial"/>
                <w:sz w:val="18"/>
                <w:szCs w:val="18"/>
              </w:rPr>
            </w:pP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ŠM-24</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AE, D</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0,9</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0,8</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največ P+1+M ali v celoti vkopana klet (K+P+1+M)</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Na južnem robu OPPN je potrebno zagotoviti minimalni odmik 5m od vodotoka Reka in revitalizirati brežine vodotoka.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 se bo navezovalo na regionalno cesto R3 - 645 (odsek 1189) in na občinsko cesto LZ 209001.</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ŠM-25</w:t>
            </w:r>
            <w:r w:rsidRPr="00353A20">
              <w:rPr>
                <w:rFonts w:ascii="Arial Narrow" w:hAnsi="Arial Narrow" w:cs="Arial"/>
                <w:sz w:val="18"/>
                <w:szCs w:val="18"/>
              </w:rPr>
              <w:tab/>
            </w:r>
          </w:p>
        </w:tc>
        <w:tc>
          <w:tcPr>
            <w:tcW w:w="4293" w:type="dxa"/>
            <w:tcBorders>
              <w:top w:val="nil"/>
              <w:left w:val="nil"/>
              <w:bottom w:val="single" w:sz="8" w:space="0" w:color="000000"/>
              <w:right w:val="nil"/>
            </w:tcBorders>
            <w:shd w:val="clear" w:color="000000" w:fill="A6A6A6"/>
            <w:noWrap/>
            <w:vAlign w:val="center"/>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celovite prenove starega mestnega jedra naselja Šmartno pri Litiji</w:t>
            </w:r>
          </w:p>
        </w:tc>
      </w:tr>
      <w:tr w:rsidR="00872692" w:rsidRPr="00353A20" w:rsidTr="00872692">
        <w:trPr>
          <w:trHeight w:val="20"/>
        </w:trPr>
        <w:tc>
          <w:tcPr>
            <w:tcW w:w="1071" w:type="dxa"/>
            <w:tcBorders>
              <w:top w:val="nil"/>
              <w:left w:val="single" w:sz="8" w:space="0" w:color="000000"/>
              <w:bottom w:val="nil"/>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tcPr>
          <w:p w:rsidR="00872692" w:rsidRPr="00353A20" w:rsidRDefault="00872692" w:rsidP="00872692">
            <w:pPr>
              <w:tabs>
                <w:tab w:val="left" w:pos="825"/>
              </w:tabs>
              <w:rPr>
                <w:rFonts w:ascii="Arial Narrow" w:hAnsi="Arial Narrow" w:cs="Arial"/>
                <w:sz w:val="18"/>
                <w:szCs w:val="18"/>
              </w:rPr>
            </w:pPr>
            <w:r w:rsidRPr="00353A20">
              <w:rPr>
                <w:rFonts w:ascii="Arial Narrow" w:hAnsi="Arial Narrow" w:cs="Arial"/>
                <w:sz w:val="18"/>
                <w:szCs w:val="18"/>
              </w:rPr>
              <w:t>ŠM-25</w:t>
            </w:r>
            <w:r w:rsidRPr="00353A20">
              <w:rPr>
                <w:rFonts w:ascii="Arial Narrow" w:hAnsi="Arial Narrow" w:cs="Arial"/>
                <w:sz w:val="18"/>
                <w:szCs w:val="18"/>
              </w:rPr>
              <w:tab/>
            </w:r>
          </w:p>
        </w:tc>
      </w:tr>
      <w:tr w:rsidR="00872692" w:rsidRPr="00353A20" w:rsidTr="00872692">
        <w:trPr>
          <w:trHeight w:val="20"/>
        </w:trPr>
        <w:tc>
          <w:tcPr>
            <w:tcW w:w="1071" w:type="dxa"/>
            <w:tcBorders>
              <w:top w:val="nil"/>
              <w:left w:val="single" w:sz="8" w:space="0" w:color="000000"/>
              <w:bottom w:val="nil"/>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tcPr>
          <w:p w:rsidR="00872692" w:rsidRPr="00353A20" w:rsidRDefault="00872692" w:rsidP="00872692">
            <w:pPr>
              <w:rPr>
                <w:rFonts w:ascii="Arial Narrow" w:hAnsi="Arial Narrow" w:cs="Arial"/>
                <w:sz w:val="18"/>
                <w:szCs w:val="18"/>
              </w:rPr>
            </w:pPr>
          </w:p>
        </w:tc>
        <w:tc>
          <w:tcPr>
            <w:tcW w:w="8543" w:type="dxa"/>
            <w:tcBorders>
              <w:top w:val="nil"/>
              <w:left w:val="nil"/>
              <w:bottom w:val="nil"/>
              <w:right w:val="single" w:sz="4"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ŠM-25</w:t>
            </w:r>
          </w:p>
        </w:tc>
      </w:tr>
      <w:tr w:rsidR="00872692" w:rsidRPr="00353A20" w:rsidTr="00872692">
        <w:trPr>
          <w:trHeight w:val="20"/>
        </w:trPr>
        <w:tc>
          <w:tcPr>
            <w:tcW w:w="1071" w:type="dxa"/>
            <w:tcBorders>
              <w:top w:val="nil"/>
              <w:left w:val="single" w:sz="8" w:space="0" w:color="000000"/>
              <w:bottom w:val="nil"/>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CU, PC</w:t>
            </w:r>
          </w:p>
        </w:tc>
      </w:tr>
      <w:tr w:rsidR="00872692" w:rsidRPr="00353A20" w:rsidTr="00872692">
        <w:trPr>
          <w:trHeight w:val="20"/>
        </w:trPr>
        <w:tc>
          <w:tcPr>
            <w:tcW w:w="1071" w:type="dxa"/>
            <w:tcBorders>
              <w:top w:val="nil"/>
              <w:left w:val="single" w:sz="8" w:space="0" w:color="000000"/>
              <w:bottom w:val="nil"/>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sz w:val="18"/>
                <w:szCs w:val="18"/>
              </w:rPr>
              <w:t>G, AE, D. FI</w:t>
            </w:r>
          </w:p>
        </w:tc>
      </w:tr>
      <w:tr w:rsidR="00872692" w:rsidRPr="00353A20" w:rsidTr="00872692">
        <w:trPr>
          <w:trHeight w:val="20"/>
        </w:trPr>
        <w:tc>
          <w:tcPr>
            <w:tcW w:w="1071" w:type="dxa"/>
            <w:tcBorders>
              <w:top w:val="nil"/>
              <w:left w:val="single" w:sz="8" w:space="0" w:color="000000"/>
              <w:bottom w:val="nil"/>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0,9</w:t>
            </w:r>
          </w:p>
        </w:tc>
      </w:tr>
      <w:tr w:rsidR="00872692" w:rsidRPr="00353A20" w:rsidTr="00872692">
        <w:trPr>
          <w:trHeight w:val="20"/>
        </w:trPr>
        <w:tc>
          <w:tcPr>
            <w:tcW w:w="1071" w:type="dxa"/>
            <w:tcBorders>
              <w:top w:val="nil"/>
              <w:left w:val="single" w:sz="8" w:space="0" w:color="000000"/>
              <w:bottom w:val="nil"/>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0,8</w:t>
            </w:r>
          </w:p>
        </w:tc>
      </w:tr>
      <w:tr w:rsidR="00872692" w:rsidRPr="00353A20" w:rsidTr="00872692">
        <w:trPr>
          <w:trHeight w:val="20"/>
        </w:trPr>
        <w:tc>
          <w:tcPr>
            <w:tcW w:w="1071" w:type="dxa"/>
            <w:tcBorders>
              <w:top w:val="nil"/>
              <w:left w:val="single" w:sz="8" w:space="0" w:color="000000"/>
              <w:bottom w:val="nil"/>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5%</w:t>
            </w:r>
          </w:p>
        </w:tc>
      </w:tr>
      <w:tr w:rsidR="00872692" w:rsidRPr="00353A20" w:rsidTr="00872692">
        <w:trPr>
          <w:trHeight w:val="20"/>
        </w:trPr>
        <w:tc>
          <w:tcPr>
            <w:tcW w:w="1071" w:type="dxa"/>
            <w:tcBorders>
              <w:top w:val="nil"/>
              <w:left w:val="single" w:sz="8" w:space="0" w:color="000000"/>
              <w:bottom w:val="nil"/>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sz w:val="18"/>
                <w:szCs w:val="18"/>
              </w:rPr>
              <w:t>P+1+M</w:t>
            </w:r>
          </w:p>
        </w:tc>
      </w:tr>
      <w:tr w:rsidR="00872692" w:rsidRPr="00353A20" w:rsidTr="00872692">
        <w:trPr>
          <w:trHeight w:val="20"/>
        </w:trPr>
        <w:tc>
          <w:tcPr>
            <w:tcW w:w="1071" w:type="dxa"/>
            <w:tcBorders>
              <w:top w:val="nil"/>
              <w:left w:val="single" w:sz="8" w:space="0" w:color="000000"/>
              <w:bottom w:val="nil"/>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sz w:val="18"/>
                <w:szCs w:val="18"/>
              </w:rPr>
              <w:t xml:space="preserve">Površine za pešce naj se tlakuje . Zelene površine ob cerkvi Sv. Martina naj se ohranijo v enakem obsegu. Prav tako naj se ohranjajo gradbene linije. Pri gradnji in prenovi objektov je potrebno kvalitetno oblikovanje zadnjih fasad na vzhodno stran proti načrtovani obvozni cesti. </w:t>
            </w:r>
          </w:p>
        </w:tc>
      </w:tr>
      <w:tr w:rsidR="00872692" w:rsidRPr="00353A20" w:rsidTr="00872692">
        <w:trPr>
          <w:trHeight w:val="20"/>
        </w:trPr>
        <w:tc>
          <w:tcPr>
            <w:tcW w:w="1071" w:type="dxa"/>
            <w:tcBorders>
              <w:top w:val="nil"/>
              <w:left w:val="single" w:sz="8" w:space="0" w:color="000000"/>
              <w:bottom w:val="nil"/>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sz w:val="18"/>
                <w:szCs w:val="18"/>
              </w:rPr>
              <w:t>Na območju je obvezna izgradnja in priključitev na vodovodno omrežje lokalnega vodovodnega sistema; obvezna izgradnja in priključitev na kanalizacijsko omrežje lokalnega kanalizacijskega sistema; obvezna priključitev na elektroenergetsko omrežje; pred gradnjo stavb je na območju obvezna izgradnja komunalne infrastrukture.</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tcPr>
          <w:p w:rsidR="00872692" w:rsidRPr="00353A20" w:rsidRDefault="00872692" w:rsidP="00872692">
            <w:pPr>
              <w:rPr>
                <w:rFonts w:ascii="Arial Narrow" w:hAnsi="Arial Narrow" w:cs="Arial"/>
                <w:sz w:val="18"/>
                <w:szCs w:val="18"/>
              </w:rPr>
            </w:pPr>
            <w:r w:rsidRPr="00353A20">
              <w:rPr>
                <w:rFonts w:ascii="Arial Narrow" w:hAnsi="Arial Narrow"/>
                <w:sz w:val="18"/>
                <w:szCs w:val="18"/>
              </w:rPr>
              <w:t>Na območju se prvenstveno uredijo površine za pešce in kolesarje (hodniki za pešce). Za potrebe tega območja se parkirišča praviloma zagotavljajo na območju ŠM-14.</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ŠM-30</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Stanovanjsko območje Šmartno JZ</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ŠM-30</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da</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ŠM-30</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SKs, PC, ZP</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(AE, D); SKs (AE, C, D)</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(0,5), SKs (0,6)</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(0,3), SKs (0,4)</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(10%), SKs (15%)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P+1+M</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Pri načrtovanju stanovanjskih stavb in spremljajočih nezahtevnih ter enostavnih objektov je potrebno upoštevati odmik objektov od gozdnega roba za sestojno višino dreves. Na območju OPPN naj se na meji med namenskima rabama  SSs in SSn uredi povezovalna pešpot v smeri JV - SZ.</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izdelava variantne študije prometa za območje in vključitev  OLN Šmartno jug-del (EUP ŠM_31) v študijo. V okviru priprave OPPN je potrebno načrtovati tudi rekonstrukcija križišča z regionalno cesto R2-416. V sklopu OPPN je obvezna ureditev dostopne ceste širine 7m + hodniki za pešce, ureditev prečnih peš povezav skozi območje OPPN in skupnega parkirišča (minimalno 10 parkirnih mest - javna raba za obiskovalce). Pred gradnjo stanovanjskih stavb je obvezna izgradnja prometne infrastrukture. V OPPN je potrebno opredeliti faznost gradnje na območju EUP ŠM_30.</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ŠM-38</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Gospodarska cona Šmartno vzhod</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ŠM-38</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da</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hideMark/>
          </w:tcPr>
          <w:p w:rsidR="00872692" w:rsidRPr="00353A20" w:rsidRDefault="00872692" w:rsidP="00872692">
            <w:pPr>
              <w:rPr>
                <w:rFonts w:ascii="Arial Narrow" w:hAnsi="Arial Narrow" w:cs="Arial"/>
                <w:sz w:val="18"/>
                <w:szCs w:val="18"/>
              </w:rPr>
            </w:pP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ŠM-38</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IG; VC</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IG (E, F)</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0,8</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0,65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10%</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 robnih območjih OPPN je potrebno zasaditi pas sanacijskega zelenja avtohtonih drevesnih in grmovnih vrst. V okviru OPPN naj se predvidi vsaj delna revitalizacija vodotoka Kostrevniški potok in preoblikovanje premostitvenega objekta čez vodotok. Za revitalizacijo in krajinsko ureditev vodotoka in obvodnih površin (minimalno 5 m od roba vodotoka) se izdela krajinski načrt.</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navezava na regionalno cesto R2-417 ŠMARTNO pri Litiji - VEL.REKA  na severu in na regionalno cesto R2-416/1347 Šmartno pri Litiji – Radohova vas. </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ŠM-39</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Posebna območja - Šmartno vzhod</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ŠM-39</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hideMark/>
          </w:tcPr>
          <w:p w:rsidR="00872692" w:rsidRPr="00353A20" w:rsidRDefault="00872692" w:rsidP="00872692">
            <w:pPr>
              <w:rPr>
                <w:rFonts w:ascii="Arial Narrow" w:hAnsi="Arial Narrow" w:cs="Arial"/>
                <w:sz w:val="18"/>
                <w:szCs w:val="18"/>
              </w:rPr>
            </w:pP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ŠM-39</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IG</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0,5 - trgovsko - oskrbna dejavnost)</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0,3 - športna dejavnost (0,4 - trgovsko - oskrbna dejavnost)</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20% - športna dejavnost (10% - trgovsko - oskrbna dejavnost)</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Calibri"/>
                <w:sz w:val="18"/>
                <w:szCs w:val="18"/>
              </w:rPr>
              <w:t>Maksimalna višina objekta 20 m vključno s klimati in drugo strojno opremo potrebno za dejavnost.</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za krajinsko ureditev vodotoka in priobalnega zemljišča (5 m od roba vodotoka) se izdela krajinski načrt; krajinska ureditev območja se lahko povezuje z vodotokom v skladu s predpisi, ki urejajo področje voda; obvodne vegetacije vodotoka (Črni potok) se ne sme odstranjevati</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stavb je na območju OPPN obvezna izgradnja komunalne infrastrukture</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navezava na regionalno cesto R2-416/1347 Šmartno pri Litiji – Radohova vas na obstoječem priključku pod pogojem, da se izdela prometno-tehnična preveritev priključevanja predmetne enote na obstoječem priključku (pri izdelavi OPPN)</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ŠM-63</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Sanacija odlagališča odpadkov Rakovnik</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ŠM-63</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ŠM-63</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F</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0,9</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OPPN se izdela za potrebe sanacije in krajinske ureditve nekdanjega odlagališča industrijskih odpadkov IUV Rakovnik. Z OPPN je obvezno reševanje problema čiščenja odcednih voda odlagališča.</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ŠP-1</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OPPN  za prostorsko ureditev skupnega pomena za obvoznico Šmartno pri Litiji na cesti R2-416 – odsek 1346 in 1347</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ŠP-1</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nil"/>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ŠP-1</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PC</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se ureja z Odlokom o občinskem podrobnem prostorskem načrtu za prostorsko ureditev skupnega pomena za obvoznico Šmartno pri Litiji na cesti R2-416 – odsek 1346 in 1347 (Ur.l.RS, št.78/08)</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VT-94, VT-95</w:t>
            </w:r>
          </w:p>
        </w:tc>
        <w:tc>
          <w:tcPr>
            <w:tcW w:w="4293" w:type="dxa"/>
            <w:tcBorders>
              <w:top w:val="nil"/>
              <w:left w:val="nil"/>
              <w:bottom w:val="single" w:sz="8" w:space="0" w:color="000000"/>
              <w:right w:val="single" w:sz="8" w:space="0" w:color="000000"/>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nil"/>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kamnolom (SV od naselja Vintarjevec)</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VT-94, VT-95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VT-94, VT-95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LN</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nil"/>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 osnovi strokovnih podlag je potrebno v OPPN opredeliti:  faznost sanacije in sanacijo površin z zasaditvijo; območja izkoriščanja mineralnih surovin ni dopustno širiti na nove površine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p>
        </w:tc>
      </w:tr>
      <w:tr w:rsidR="00872692" w:rsidRPr="00353A20" w:rsidTr="00872692">
        <w:trPr>
          <w:trHeight w:val="20"/>
        </w:trPr>
        <w:tc>
          <w:tcPr>
            <w:tcW w:w="1071" w:type="dxa"/>
            <w:tcBorders>
              <w:top w:val="nil"/>
              <w:left w:val="single" w:sz="8" w:space="0" w:color="000000"/>
              <w:bottom w:val="single" w:sz="8" w:space="0" w:color="auto"/>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nil"/>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Po končanem izkoriščanju je potrebno dostopne ceste obnoviti (v primeru neustreznosti zaradi obremenitev tovornih vozil). Območje OPPN se posredno navezuje na lokalno cestoLC208220 KRZNAR-SIMONČIČ-ŠUŠTAR-LJUBŠE-DEBEČE.</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VT-15</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Stanovanjske površine za posebne namene - Dom Tisje (Črni Potok)</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VT-15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VT-15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SB; PC</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SB (AE,BV, BV, BE, D, G)</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SB (1,1)</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SB (0,5)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SB (20%)</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Območje se ureja z Odlokom o občinskem podrobnem prostorskem načrtu za območje urejanja »Dom Tisje« (Ur.l.RS, št. 41/09)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VT-5</w:t>
            </w:r>
          </w:p>
        </w:tc>
        <w:tc>
          <w:tcPr>
            <w:tcW w:w="4293" w:type="dxa"/>
            <w:tcBorders>
              <w:top w:val="nil"/>
              <w:left w:val="nil"/>
              <w:bottom w:val="single" w:sz="8" w:space="0" w:color="000000"/>
              <w:right w:val="nil"/>
            </w:tcBorders>
            <w:shd w:val="clear" w:color="000000"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OPPN</w:t>
            </w:r>
          </w:p>
        </w:tc>
        <w:tc>
          <w:tcPr>
            <w:tcW w:w="8543" w:type="dxa"/>
            <w:tcBorders>
              <w:top w:val="nil"/>
              <w:left w:val="single" w:sz="8" w:space="0" w:color="000000"/>
              <w:bottom w:val="single" w:sz="8" w:space="0" w:color="000000"/>
              <w:right w:val="single" w:sz="4" w:space="0" w:color="000000"/>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Stanovanjske površine na območju Črnega Potoka (1)</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nil"/>
              <w:left w:val="nil"/>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nil"/>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single" w:sz="8" w:space="0" w:color="000000"/>
              <w:left w:val="single" w:sz="8" w:space="0" w:color="000000"/>
              <w:bottom w:val="nil"/>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VT-5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single" w:sz="8" w:space="0" w:color="000000"/>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PC</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SSs (AE, D)</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0,5</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0,3</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10%</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P+1+M</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Postavitev stanovanjskih stavb na območju OPPN mora slediti morfologiji obstoječih objektov v sosednjih </w:t>
            </w:r>
            <w:r>
              <w:rPr>
                <w:rFonts w:ascii="Arial Narrow" w:hAnsi="Arial Narrow" w:cs="Arial"/>
                <w:sz w:val="18"/>
                <w:szCs w:val="18"/>
              </w:rPr>
              <w:t xml:space="preserve">EUP in se prilagajati reliefu. </w:t>
            </w:r>
            <w:r w:rsidRPr="00353A20">
              <w:rPr>
                <w:rFonts w:ascii="Arial Narrow" w:hAnsi="Arial Narrow" w:cs="Arial"/>
                <w:sz w:val="18"/>
                <w:szCs w:val="18"/>
              </w:rPr>
              <w:t xml:space="preserve">Pri načrtovanju stanovanjskih stavb in spremljajočih nezahtevnih ter enostavnih objektov je potrebno upoštevati odmik objektov od gozdnega roba za sestojno višino dreves. </w:t>
            </w:r>
          </w:p>
        </w:tc>
      </w:tr>
      <w:tr w:rsidR="00872692" w:rsidRPr="00353A20" w:rsidTr="00872692">
        <w:trPr>
          <w:trHeight w:val="20"/>
        </w:trPr>
        <w:tc>
          <w:tcPr>
            <w:tcW w:w="1071" w:type="dxa"/>
            <w:tcBorders>
              <w:top w:val="nil"/>
              <w:left w:val="single" w:sz="8" w:space="0" w:color="000000"/>
              <w:bottom w:val="nil"/>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4"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single" w:sz="8" w:space="0" w:color="000000"/>
              <w:bottom w:val="single" w:sz="4"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izgradnja in priključitev na vodovodno omrežje lokalnega vodovodnega sistema; obvezna izgradnja in priključitev na kanalizacijsko omrežje lokalnega kanalizacijskega sistema; obvezna priključitev na elektroenergetsko omrežje; pred gradnjo stanovanjskih stavb je obvezna izgradnja komunalne infrastrukture</w:t>
            </w:r>
          </w:p>
        </w:tc>
      </w:tr>
      <w:tr w:rsidR="00872692" w:rsidRPr="00353A20" w:rsidTr="00872692">
        <w:trPr>
          <w:trHeight w:val="20"/>
        </w:trPr>
        <w:tc>
          <w:tcPr>
            <w:tcW w:w="1071" w:type="dxa"/>
            <w:tcBorders>
              <w:top w:val="nil"/>
              <w:left w:val="single" w:sz="8" w:space="0" w:color="000000"/>
              <w:bottom w:val="single" w:sz="8" w:space="0" w:color="000000"/>
              <w:right w:val="single" w:sz="8"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nil"/>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nil"/>
              <w:left w:val="single" w:sz="8" w:space="0" w:color="000000"/>
              <w:bottom w:val="single" w:sz="8" w:space="0" w:color="000000"/>
              <w:right w:val="single" w:sz="4" w:space="0" w:color="000000"/>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navezava na regionalno cesto R2-416 ŠMARTNO-RADOHOVA VAS preko javne poti JP 709501 (odsek R2-416 Hostnik)</w:t>
            </w:r>
          </w:p>
        </w:tc>
      </w:tr>
      <w:tr w:rsidR="00872692" w:rsidRPr="00353A20" w:rsidTr="00872692">
        <w:trPr>
          <w:trHeight w:val="20"/>
        </w:trPr>
        <w:tc>
          <w:tcPr>
            <w:tcW w:w="1071" w:type="dxa"/>
            <w:tcBorders>
              <w:top w:val="nil"/>
              <w:left w:val="single" w:sz="8" w:space="0" w:color="000000"/>
              <w:bottom w:val="nil"/>
              <w:right w:val="nil"/>
            </w:tcBorders>
            <w:shd w:val="clear" w:color="000000"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ŠE-1, ŠE-2</w:t>
            </w:r>
          </w:p>
        </w:tc>
        <w:tc>
          <w:tcPr>
            <w:tcW w:w="4293" w:type="dxa"/>
            <w:tcBorders>
              <w:top w:val="nil"/>
              <w:left w:val="single" w:sz="8" w:space="0" w:color="000000"/>
              <w:bottom w:val="single" w:sz="8" w:space="0" w:color="000000"/>
              <w:right w:val="single" w:sz="8" w:space="0" w:color="000000"/>
            </w:tcBorders>
            <w:shd w:val="clear" w:color="CCCCFF" w:fill="A6A6A6"/>
            <w:noWrap/>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DPA</w:t>
            </w:r>
          </w:p>
        </w:tc>
        <w:tc>
          <w:tcPr>
            <w:tcW w:w="8543" w:type="dxa"/>
            <w:tcBorders>
              <w:top w:val="nil"/>
              <w:left w:val="nil"/>
              <w:bottom w:val="single" w:sz="8" w:space="0" w:color="000000"/>
              <w:right w:val="single" w:sz="8" w:space="0" w:color="auto"/>
            </w:tcBorders>
            <w:shd w:val="clear" w:color="CCCCFF" w:fill="A6A6A6"/>
            <w:vAlign w:val="center"/>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xml:space="preserve">Državni lokacijski načrt za daljnovod 2×400 kV Beričevo–Krško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Enote urejanja vključene v OPPN</w:t>
            </w:r>
          </w:p>
        </w:tc>
        <w:tc>
          <w:tcPr>
            <w:tcW w:w="8543" w:type="dxa"/>
            <w:tcBorders>
              <w:top w:val="nil"/>
              <w:left w:val="nil"/>
              <w:bottom w:val="nil"/>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ŠE-1, ŠE-2</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Obveznost izvedbe variantnih rešitev</w:t>
            </w:r>
          </w:p>
        </w:tc>
        <w:tc>
          <w:tcPr>
            <w:tcW w:w="8543" w:type="dxa"/>
            <w:tcBorders>
              <w:top w:val="single" w:sz="4" w:space="0" w:color="000000"/>
              <w:left w:val="single" w:sz="4" w:space="0" w:color="000000"/>
              <w:bottom w:val="nil"/>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ne</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single" w:sz="8" w:space="0" w:color="000000"/>
              <w:bottom w:val="single" w:sz="8" w:space="0" w:color="000000"/>
              <w:right w:val="nil"/>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8543" w:type="dxa"/>
            <w:tcBorders>
              <w:top w:val="single" w:sz="8" w:space="0" w:color="000000"/>
              <w:left w:val="nil"/>
              <w:bottom w:val="single" w:sz="8" w:space="0" w:color="000000"/>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nil"/>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Oznaka enote urejanja prostora</w:t>
            </w:r>
          </w:p>
        </w:tc>
        <w:tc>
          <w:tcPr>
            <w:tcW w:w="8543" w:type="dxa"/>
            <w:tcBorders>
              <w:top w:val="nil"/>
              <w:left w:val="nil"/>
              <w:bottom w:val="nil"/>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ŠE-1, ŠE-2</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single" w:sz="8" w:space="0" w:color="000000"/>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Namenska raba</w:t>
            </w:r>
          </w:p>
        </w:tc>
        <w:tc>
          <w:tcPr>
            <w:tcW w:w="8543" w:type="dxa"/>
            <w:tcBorders>
              <w:top w:val="nil"/>
              <w:left w:val="single" w:sz="4" w:space="0" w:color="000000"/>
              <w:bottom w:val="single" w:sz="4" w:space="0" w:color="000000"/>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Tipologija</w:t>
            </w:r>
          </w:p>
        </w:tc>
        <w:tc>
          <w:tcPr>
            <w:tcW w:w="8543" w:type="dxa"/>
            <w:tcBorders>
              <w:top w:val="nil"/>
              <w:left w:val="single" w:sz="4" w:space="0" w:color="000000"/>
              <w:bottom w:val="single" w:sz="4" w:space="0" w:color="000000"/>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FI - faktor izrabe  (največ)</w:t>
            </w:r>
          </w:p>
        </w:tc>
        <w:tc>
          <w:tcPr>
            <w:tcW w:w="8543" w:type="dxa"/>
            <w:tcBorders>
              <w:top w:val="nil"/>
              <w:left w:val="single" w:sz="4" w:space="0" w:color="000000"/>
              <w:bottom w:val="single" w:sz="4" w:space="0" w:color="000000"/>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FZ - faktor zazidanosti (največ)</w:t>
            </w:r>
          </w:p>
        </w:tc>
        <w:tc>
          <w:tcPr>
            <w:tcW w:w="8543" w:type="dxa"/>
            <w:tcBorders>
              <w:top w:val="nil"/>
              <w:left w:val="single" w:sz="4" w:space="0" w:color="000000"/>
              <w:bottom w:val="single" w:sz="4" w:space="0" w:color="000000"/>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DZP - delež odprtih zelenih površin (najmanj)</w:t>
            </w:r>
          </w:p>
        </w:tc>
        <w:tc>
          <w:tcPr>
            <w:tcW w:w="8543" w:type="dxa"/>
            <w:tcBorders>
              <w:top w:val="nil"/>
              <w:left w:val="single" w:sz="4" w:space="0" w:color="000000"/>
              <w:bottom w:val="single" w:sz="4" w:space="0" w:color="000000"/>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višina</w:t>
            </w:r>
          </w:p>
        </w:tc>
        <w:tc>
          <w:tcPr>
            <w:tcW w:w="8543" w:type="dxa"/>
            <w:tcBorders>
              <w:top w:val="nil"/>
              <w:left w:val="single" w:sz="4" w:space="0" w:color="000000"/>
              <w:bottom w:val="single" w:sz="4" w:space="0" w:color="000000"/>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usmeritve</w:t>
            </w:r>
          </w:p>
        </w:tc>
        <w:tc>
          <w:tcPr>
            <w:tcW w:w="8543" w:type="dxa"/>
            <w:tcBorders>
              <w:top w:val="nil"/>
              <w:left w:val="single" w:sz="4" w:space="0" w:color="000000"/>
              <w:bottom w:val="single" w:sz="4" w:space="0" w:color="000000"/>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Območje se ureja z Uredbo o državnem lokacijskem načrtu za daljnovod 2×400 kV Beričevo–Krško (Uradni list RS, št. 5/06, 33/07 – ZPNačrt).</w:t>
            </w:r>
          </w:p>
        </w:tc>
      </w:tr>
      <w:tr w:rsidR="00872692" w:rsidRPr="00353A20" w:rsidTr="00872692">
        <w:trPr>
          <w:trHeight w:val="20"/>
        </w:trPr>
        <w:tc>
          <w:tcPr>
            <w:tcW w:w="1071" w:type="dxa"/>
            <w:tcBorders>
              <w:top w:val="nil"/>
              <w:left w:val="single" w:sz="8" w:space="0" w:color="000000"/>
              <w:bottom w:val="nil"/>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4" w:space="0" w:color="000000"/>
              <w:right w:val="single" w:sz="8" w:space="0" w:color="000000"/>
            </w:tcBorders>
            <w:noWrap/>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obvezna komunalna oprema</w:t>
            </w:r>
          </w:p>
        </w:tc>
        <w:tc>
          <w:tcPr>
            <w:tcW w:w="8543" w:type="dxa"/>
            <w:tcBorders>
              <w:top w:val="nil"/>
              <w:left w:val="nil"/>
              <w:bottom w:val="nil"/>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r w:rsidR="00872692" w:rsidRPr="00353A20" w:rsidTr="00872692">
        <w:trPr>
          <w:trHeight w:val="20"/>
        </w:trPr>
        <w:tc>
          <w:tcPr>
            <w:tcW w:w="1071" w:type="dxa"/>
            <w:tcBorders>
              <w:top w:val="nil"/>
              <w:left w:val="single" w:sz="8" w:space="0" w:color="000000"/>
              <w:bottom w:val="single" w:sz="8" w:space="0" w:color="auto"/>
              <w:right w:val="nil"/>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c>
          <w:tcPr>
            <w:tcW w:w="4293" w:type="dxa"/>
            <w:tcBorders>
              <w:top w:val="nil"/>
              <w:left w:val="single" w:sz="8" w:space="0" w:color="000000"/>
              <w:bottom w:val="single" w:sz="8" w:space="0" w:color="auto"/>
              <w:right w:val="single" w:sz="8" w:space="0" w:color="000000"/>
            </w:tcBorders>
            <w:vAlign w:val="bottom"/>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prometna infrastruktura</w:t>
            </w:r>
          </w:p>
        </w:tc>
        <w:tc>
          <w:tcPr>
            <w:tcW w:w="8543" w:type="dxa"/>
            <w:tcBorders>
              <w:top w:val="single" w:sz="4" w:space="0" w:color="000000"/>
              <w:left w:val="single" w:sz="4" w:space="0" w:color="000000"/>
              <w:bottom w:val="single" w:sz="8" w:space="0" w:color="auto"/>
              <w:right w:val="single" w:sz="8" w:space="0" w:color="auto"/>
            </w:tcBorders>
            <w:hideMark/>
          </w:tcPr>
          <w:p w:rsidR="00872692" w:rsidRPr="00353A20" w:rsidRDefault="00872692" w:rsidP="00872692">
            <w:pPr>
              <w:rPr>
                <w:rFonts w:ascii="Arial Narrow" w:hAnsi="Arial Narrow" w:cs="Arial"/>
                <w:sz w:val="18"/>
                <w:szCs w:val="18"/>
              </w:rPr>
            </w:pPr>
            <w:r w:rsidRPr="00353A20">
              <w:rPr>
                <w:rFonts w:ascii="Arial Narrow" w:hAnsi="Arial Narrow" w:cs="Arial"/>
                <w:sz w:val="18"/>
                <w:szCs w:val="18"/>
              </w:rPr>
              <w:t> </w:t>
            </w:r>
          </w:p>
        </w:tc>
      </w:tr>
    </w:tbl>
    <w:p w:rsidR="00F66FBF" w:rsidRPr="00EE38A4" w:rsidRDefault="00F66FBF" w:rsidP="00EE38A4">
      <w:pPr>
        <w:tabs>
          <w:tab w:val="left" w:pos="426"/>
          <w:tab w:val="left" w:pos="2880"/>
        </w:tabs>
        <w:rPr>
          <w:rFonts w:ascii="Arial" w:hAnsi="Arial" w:cs="Arial"/>
          <w:sz w:val="20"/>
          <w:szCs w:val="20"/>
        </w:rPr>
      </w:pPr>
    </w:p>
    <w:sectPr w:rsidR="00F66FBF" w:rsidRPr="00EE38A4" w:rsidSect="00EE38A4">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E49" w:rsidRDefault="00B16E49" w:rsidP="00872692">
      <w:r>
        <w:separator/>
      </w:r>
    </w:p>
  </w:endnote>
  <w:endnote w:type="continuationSeparator" w:id="0">
    <w:p w:rsidR="00B16E49" w:rsidRDefault="00B16E49" w:rsidP="00872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ap">
    <w:panose1 w:val="00000400000000000000"/>
    <w:charset w:val="EE"/>
    <w:family w:val="auto"/>
    <w:pitch w:val="variable"/>
    <w:sig w:usb0="20002A87" w:usb1="00000000" w:usb2="00000000"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92" w:rsidRDefault="00872692">
    <w:pPr>
      <w:pStyle w:val="Footer"/>
    </w:pPr>
    <w:r>
      <w:object w:dxaOrig="18598"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65.1pt" o:ole="">
          <v:imagedata r:id="rId1" o:title=""/>
        </v:shape>
        <o:OLEObject Type="Embed" ProgID="MSPhotoEd.3" ShapeID="_x0000_i1025" DrawAspect="Content" ObjectID="_1840617931" r:id="rId2"/>
      </w:obje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E49" w:rsidRDefault="00B16E49" w:rsidP="00872692">
      <w:r>
        <w:separator/>
      </w:r>
    </w:p>
  </w:footnote>
  <w:footnote w:type="continuationSeparator" w:id="0">
    <w:p w:rsidR="00B16E49" w:rsidRDefault="00B16E49" w:rsidP="008726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92" w:rsidRDefault="008726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351F"/>
    <w:multiLevelType w:val="multilevel"/>
    <w:tmpl w:val="CCA45C48"/>
    <w:styleLink w:val="Locus"/>
    <w:lvl w:ilvl="0">
      <w:start w:val="1"/>
      <w:numFmt w:val="decimal"/>
      <w:pStyle w:val="LCNaslov1"/>
      <w:lvlText w:val="%1"/>
      <w:lvlJc w:val="left"/>
      <w:pPr>
        <w:ind w:left="425" w:hanging="425"/>
      </w:pPr>
      <w:rPr>
        <w:rFonts w:hint="default"/>
      </w:rPr>
    </w:lvl>
    <w:lvl w:ilvl="1">
      <w:start w:val="1"/>
      <w:numFmt w:val="decimal"/>
      <w:pStyle w:val="LCNaslov2"/>
      <w:lvlText w:val="%1.%2"/>
      <w:lvlJc w:val="left"/>
      <w:pPr>
        <w:ind w:left="567" w:hanging="567"/>
      </w:pPr>
      <w:rPr>
        <w:rFonts w:hint="default"/>
      </w:rPr>
    </w:lvl>
    <w:lvl w:ilvl="2">
      <w:start w:val="1"/>
      <w:numFmt w:val="decimal"/>
      <w:pStyle w:val="LCNaslov3"/>
      <w:lvlText w:val="%2.%3.1"/>
      <w:lvlJc w:val="left"/>
      <w:pPr>
        <w:tabs>
          <w:tab w:val="num" w:pos="567"/>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C07A13"/>
    <w:multiLevelType w:val="hybridMultilevel"/>
    <w:tmpl w:val="031C9A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B149AA"/>
    <w:multiLevelType w:val="hybridMultilevel"/>
    <w:tmpl w:val="33A8413E"/>
    <w:lvl w:ilvl="0" w:tplc="882C6FD8">
      <w:start w:val="2"/>
      <w:numFmt w:val="bullet"/>
      <w:lvlText w:val="-"/>
      <w:lvlJc w:val="left"/>
      <w:pPr>
        <w:ind w:left="720" w:hanging="360"/>
      </w:pPr>
      <w:rPr>
        <w:rFonts w:ascii="Times New Roman" w:eastAsia="Calibri" w:hAnsi="Times New Roman" w:cs="Times New Roman" w:hint="default"/>
        <w:color w:val="000000"/>
        <w:sz w:val="14"/>
      </w:rPr>
    </w:lvl>
    <w:lvl w:ilvl="1" w:tplc="31C253E2">
      <w:numFmt w:val="bullet"/>
      <w:lvlText w:val="–"/>
      <w:lvlJc w:val="left"/>
      <w:pPr>
        <w:ind w:left="1740" w:hanging="660"/>
      </w:pPr>
      <w:rPr>
        <w:rFonts w:ascii="Arial" w:eastAsia="Calibri" w:hAnsi="Arial" w:cs="Arial" w:hint="default"/>
        <w:color w:val="000000"/>
        <w:sz w:val="17"/>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1063C94"/>
    <w:multiLevelType w:val="hybridMultilevel"/>
    <w:tmpl w:val="6D249EB0"/>
    <w:lvl w:ilvl="0" w:tplc="FFFFFFFF">
      <w:start w:val="1"/>
      <w:numFmt w:val="bullet"/>
      <w:lvlText w:val=""/>
      <w:legacy w:legacy="1" w:legacySpace="0" w:legacyIndent="288"/>
      <w:lvlJc w:val="left"/>
      <w:pPr>
        <w:ind w:left="1215" w:hanging="288"/>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11F1069"/>
    <w:multiLevelType w:val="hybridMultilevel"/>
    <w:tmpl w:val="6CDA41AE"/>
    <w:lvl w:ilvl="0" w:tplc="6DA832CA">
      <w:start w:val="1"/>
      <w:numFmt w:val="decimal"/>
      <w:pStyle w:val="besedilonatevanje"/>
      <w:lvlText w:val="(%1)"/>
      <w:lvlJc w:val="left"/>
      <w:pPr>
        <w:tabs>
          <w:tab w:val="num" w:pos="0"/>
        </w:tabs>
        <w:ind w:left="360" w:hanging="360"/>
      </w:pPr>
      <w:rPr>
        <w:rFonts w:hint="default"/>
      </w:rPr>
    </w:lvl>
    <w:lvl w:ilvl="1" w:tplc="C2D27202">
      <w:start w:val="1"/>
      <w:numFmt w:val="decimal"/>
      <w:lvlText w:val="(%2)"/>
      <w:lvlJc w:val="left"/>
      <w:pPr>
        <w:ind w:left="1080" w:hanging="360"/>
      </w:pPr>
      <w:rPr>
        <w:rFonts w:hint="default"/>
      </w:r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5">
    <w:nsid w:val="11882FF9"/>
    <w:multiLevelType w:val="hybridMultilevel"/>
    <w:tmpl w:val="5C966BD4"/>
    <w:lvl w:ilvl="0" w:tplc="97B6CAA2">
      <w:start w:val="1270"/>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6">
    <w:nsid w:val="14815EC6"/>
    <w:multiLevelType w:val="hybridMultilevel"/>
    <w:tmpl w:val="F84E4A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4BB7419"/>
    <w:multiLevelType w:val="hybridMultilevel"/>
    <w:tmpl w:val="62D84F82"/>
    <w:lvl w:ilvl="0" w:tplc="882C6FD8">
      <w:start w:val="2"/>
      <w:numFmt w:val="bullet"/>
      <w:lvlText w:val="-"/>
      <w:lvlJc w:val="left"/>
      <w:pPr>
        <w:ind w:left="720" w:hanging="360"/>
      </w:pPr>
      <w:rPr>
        <w:rFonts w:ascii="Times New Roman" w:eastAsia="Calibri" w:hAnsi="Times New Roman" w:cs="Times New Roman" w:hint="default"/>
        <w:color w:val="000000"/>
        <w:sz w:val="14"/>
      </w:rPr>
    </w:lvl>
    <w:lvl w:ilvl="1" w:tplc="D070FA46">
      <w:start w:val="1"/>
      <w:numFmt w:val="bullet"/>
      <w:lvlText w:val="g"/>
      <w:lvlJc w:val="left"/>
      <w:pPr>
        <w:ind w:left="1740" w:hanging="660"/>
      </w:pPr>
      <w:rPr>
        <w:rFonts w:ascii="Symap" w:hAnsi="Symap" w:hint="default"/>
        <w:color w:val="000000"/>
        <w:sz w:val="17"/>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A6A1924"/>
    <w:multiLevelType w:val="hybridMultilevel"/>
    <w:tmpl w:val="5CAA72D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0355A8B"/>
    <w:multiLevelType w:val="hybridMultilevel"/>
    <w:tmpl w:val="AC4EB042"/>
    <w:lvl w:ilvl="0" w:tplc="FFFFFFFF">
      <w:start w:val="1"/>
      <w:numFmt w:val="bullet"/>
      <w:lvlText w:val=""/>
      <w:legacy w:legacy="1" w:legacySpace="0" w:legacyIndent="288"/>
      <w:lvlJc w:val="left"/>
      <w:pPr>
        <w:ind w:left="1215" w:hanging="288"/>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C974E22"/>
    <w:multiLevelType w:val="hybridMultilevel"/>
    <w:tmpl w:val="3926D5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CFC6866"/>
    <w:multiLevelType w:val="hybridMultilevel"/>
    <w:tmpl w:val="4EF8FA8E"/>
    <w:lvl w:ilvl="0" w:tplc="C336668A">
      <w:numFmt w:val="bullet"/>
      <w:lvlText w:val="-"/>
      <w:lvlJc w:val="left"/>
      <w:pPr>
        <w:ind w:left="720" w:hanging="360"/>
      </w:pPr>
      <w:rPr>
        <w:rFonts w:ascii="Times New Roman" w:eastAsia="ArialMT"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A19076B"/>
    <w:multiLevelType w:val="hybridMultilevel"/>
    <w:tmpl w:val="7FAA04B4"/>
    <w:lvl w:ilvl="0" w:tplc="FFFFFFFF">
      <w:start w:val="1"/>
      <w:numFmt w:val="bullet"/>
      <w:lvlText w:val=""/>
      <w:legacy w:legacy="1" w:legacySpace="0" w:legacyIndent="288"/>
      <w:lvlJc w:val="left"/>
      <w:pPr>
        <w:ind w:left="1215" w:hanging="288"/>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3C52489A"/>
    <w:multiLevelType w:val="hybridMultilevel"/>
    <w:tmpl w:val="0BECA792"/>
    <w:lvl w:ilvl="0" w:tplc="04240005">
      <w:start w:val="1"/>
      <w:numFmt w:val="bullet"/>
      <w:lvlText w:val=""/>
      <w:lvlJc w:val="left"/>
      <w:pPr>
        <w:ind w:left="726" w:hanging="360"/>
      </w:pPr>
      <w:rPr>
        <w:rFonts w:ascii="Wingdings" w:hAnsi="Wingdings" w:hint="default"/>
      </w:rPr>
    </w:lvl>
    <w:lvl w:ilvl="1" w:tplc="04240003">
      <w:start w:val="1"/>
      <w:numFmt w:val="bullet"/>
      <w:lvlText w:val="o"/>
      <w:lvlJc w:val="left"/>
      <w:pPr>
        <w:ind w:left="1446" w:hanging="360"/>
      </w:pPr>
      <w:rPr>
        <w:rFonts w:ascii="Courier New" w:hAnsi="Courier New" w:cs="Courier New" w:hint="default"/>
      </w:rPr>
    </w:lvl>
    <w:lvl w:ilvl="2" w:tplc="04240005" w:tentative="1">
      <w:start w:val="1"/>
      <w:numFmt w:val="bullet"/>
      <w:lvlText w:val=""/>
      <w:lvlJc w:val="left"/>
      <w:pPr>
        <w:ind w:left="2166" w:hanging="360"/>
      </w:pPr>
      <w:rPr>
        <w:rFonts w:ascii="Wingdings" w:hAnsi="Wingdings" w:hint="default"/>
      </w:rPr>
    </w:lvl>
    <w:lvl w:ilvl="3" w:tplc="04240001" w:tentative="1">
      <w:start w:val="1"/>
      <w:numFmt w:val="bullet"/>
      <w:lvlText w:val=""/>
      <w:lvlJc w:val="left"/>
      <w:pPr>
        <w:ind w:left="2886" w:hanging="360"/>
      </w:pPr>
      <w:rPr>
        <w:rFonts w:ascii="Symbol" w:hAnsi="Symbol" w:hint="default"/>
      </w:rPr>
    </w:lvl>
    <w:lvl w:ilvl="4" w:tplc="04240003" w:tentative="1">
      <w:start w:val="1"/>
      <w:numFmt w:val="bullet"/>
      <w:lvlText w:val="o"/>
      <w:lvlJc w:val="left"/>
      <w:pPr>
        <w:ind w:left="3606" w:hanging="360"/>
      </w:pPr>
      <w:rPr>
        <w:rFonts w:ascii="Courier New" w:hAnsi="Courier New" w:cs="Courier New" w:hint="default"/>
      </w:rPr>
    </w:lvl>
    <w:lvl w:ilvl="5" w:tplc="04240005" w:tentative="1">
      <w:start w:val="1"/>
      <w:numFmt w:val="bullet"/>
      <w:lvlText w:val=""/>
      <w:lvlJc w:val="left"/>
      <w:pPr>
        <w:ind w:left="4326" w:hanging="360"/>
      </w:pPr>
      <w:rPr>
        <w:rFonts w:ascii="Wingdings" w:hAnsi="Wingdings" w:hint="default"/>
      </w:rPr>
    </w:lvl>
    <w:lvl w:ilvl="6" w:tplc="04240001" w:tentative="1">
      <w:start w:val="1"/>
      <w:numFmt w:val="bullet"/>
      <w:lvlText w:val=""/>
      <w:lvlJc w:val="left"/>
      <w:pPr>
        <w:ind w:left="5046" w:hanging="360"/>
      </w:pPr>
      <w:rPr>
        <w:rFonts w:ascii="Symbol" w:hAnsi="Symbol" w:hint="default"/>
      </w:rPr>
    </w:lvl>
    <w:lvl w:ilvl="7" w:tplc="04240003" w:tentative="1">
      <w:start w:val="1"/>
      <w:numFmt w:val="bullet"/>
      <w:lvlText w:val="o"/>
      <w:lvlJc w:val="left"/>
      <w:pPr>
        <w:ind w:left="5766" w:hanging="360"/>
      </w:pPr>
      <w:rPr>
        <w:rFonts w:ascii="Courier New" w:hAnsi="Courier New" w:cs="Courier New" w:hint="default"/>
      </w:rPr>
    </w:lvl>
    <w:lvl w:ilvl="8" w:tplc="04240005" w:tentative="1">
      <w:start w:val="1"/>
      <w:numFmt w:val="bullet"/>
      <w:lvlText w:val=""/>
      <w:lvlJc w:val="left"/>
      <w:pPr>
        <w:ind w:left="6486" w:hanging="360"/>
      </w:pPr>
      <w:rPr>
        <w:rFonts w:ascii="Wingdings" w:hAnsi="Wingdings" w:hint="default"/>
      </w:rPr>
    </w:lvl>
  </w:abstractNum>
  <w:abstractNum w:abstractNumId="14">
    <w:nsid w:val="3FD74CDB"/>
    <w:multiLevelType w:val="hybridMultilevel"/>
    <w:tmpl w:val="318E9C1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4CAC3007"/>
    <w:multiLevelType w:val="hybridMultilevel"/>
    <w:tmpl w:val="445E336A"/>
    <w:lvl w:ilvl="0" w:tplc="45AAFE88">
      <w:start w:val="1275"/>
      <w:numFmt w:val="bullet"/>
      <w:lvlText w:val="-"/>
      <w:lvlJc w:val="left"/>
      <w:pPr>
        <w:ind w:left="420" w:hanging="360"/>
      </w:pPr>
      <w:rPr>
        <w:rFonts w:ascii="Times New Roman" w:eastAsia="Times New Roman"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6">
    <w:nsid w:val="519B7F0B"/>
    <w:multiLevelType w:val="hybridMultilevel"/>
    <w:tmpl w:val="21A405E2"/>
    <w:lvl w:ilvl="0" w:tplc="D194BA46">
      <w:start w:val="123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B464441"/>
    <w:multiLevelType w:val="hybridMultilevel"/>
    <w:tmpl w:val="CA966370"/>
    <w:lvl w:ilvl="0" w:tplc="4B02F45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5DCA4E15"/>
    <w:multiLevelType w:val="hybridMultilevel"/>
    <w:tmpl w:val="8A60F32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134500D"/>
    <w:multiLevelType w:val="hybridMultilevel"/>
    <w:tmpl w:val="6CAC9A8E"/>
    <w:lvl w:ilvl="0" w:tplc="A5F43514">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62145D35"/>
    <w:multiLevelType w:val="hybridMultilevel"/>
    <w:tmpl w:val="BC802CB8"/>
    <w:lvl w:ilvl="0" w:tplc="DFD6BD8C">
      <w:start w:val="1"/>
      <w:numFmt w:val="decimal"/>
      <w:pStyle w:val="len2"/>
      <w:lvlText w:val="%1.člen"/>
      <w:lvlJc w:val="center"/>
      <w:pPr>
        <w:ind w:left="5060" w:hanging="360"/>
      </w:pPr>
      <w:rPr>
        <w:rFonts w:hAnsi="Arial" w:cs="Arial"/>
        <w:b w:val="0"/>
        <w:bCs w:val="0"/>
        <w:i w:val="0"/>
        <w:iCs w:val="0"/>
        <w:caps w:val="0"/>
        <w:smallCaps w:val="0"/>
        <w:strike w:val="0"/>
        <w:dstrike w:val="0"/>
        <w:noProof w:val="0"/>
        <w:vanish w:val="0"/>
        <w:color w:val="auto"/>
        <w:spacing w:val="0"/>
        <w:kern w:val="0"/>
        <w:position w:val="0"/>
        <w:szCs w:val="24"/>
        <w:u w:val="none"/>
        <w:vertAlign w:val="baseline"/>
        <w:em w:val="none"/>
        <w:lang w:val="sl-SI" w:eastAsia="en-US" w:bidi="ar-SA"/>
      </w:rPr>
    </w:lvl>
    <w:lvl w:ilvl="1" w:tplc="04240003">
      <w:start w:val="1"/>
      <w:numFmt w:val="bullet"/>
      <w:lvlText w:val="ـ"/>
      <w:lvlJc w:val="left"/>
      <w:pPr>
        <w:tabs>
          <w:tab w:val="num" w:pos="1440"/>
        </w:tabs>
        <w:ind w:left="14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tplc="04240005">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1">
    <w:nsid w:val="63894D0A"/>
    <w:multiLevelType w:val="hybridMultilevel"/>
    <w:tmpl w:val="B0AAF048"/>
    <w:lvl w:ilvl="0" w:tplc="6C5C9160">
      <w:start w:val="1275"/>
      <w:numFmt w:val="bullet"/>
      <w:lvlText w:val="-"/>
      <w:lvlJc w:val="left"/>
      <w:pPr>
        <w:tabs>
          <w:tab w:val="num" w:pos="720"/>
        </w:tabs>
        <w:ind w:left="720" w:hanging="360"/>
      </w:pPr>
      <w:rPr>
        <w:rFonts w:ascii="Times New Roman" w:eastAsia="Times New Roman" w:hAnsi="Times New Roman" w:cs="Times New Roman" w:hint="default"/>
      </w:rPr>
    </w:lvl>
    <w:lvl w:ilvl="1" w:tplc="3AB6A384">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6D6500BE"/>
    <w:multiLevelType w:val="hybridMultilevel"/>
    <w:tmpl w:val="462A0EE4"/>
    <w:lvl w:ilvl="0" w:tplc="B9268704">
      <w:start w:val="1"/>
      <w:numFmt w:val="bullet"/>
      <w:lvlText w:val=""/>
      <w:lvlJc w:val="left"/>
      <w:pPr>
        <w:ind w:left="720" w:hanging="360"/>
      </w:pPr>
      <w:rPr>
        <w:rFonts w:ascii="Wingdings" w:hAnsi="Wingdings" w:hint="default"/>
        <w:color w:val="7BA4D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1534E74"/>
    <w:multiLevelType w:val="hybridMultilevel"/>
    <w:tmpl w:val="F51CBD30"/>
    <w:lvl w:ilvl="0" w:tplc="04240005">
      <w:start w:val="1"/>
      <w:numFmt w:val="bullet"/>
      <w:lvlText w:val=""/>
      <w:lvlJc w:val="left"/>
      <w:pPr>
        <w:ind w:left="726" w:hanging="360"/>
      </w:pPr>
      <w:rPr>
        <w:rFonts w:ascii="Wingdings" w:hAnsi="Wingdings" w:hint="default"/>
      </w:rPr>
    </w:lvl>
    <w:lvl w:ilvl="1" w:tplc="04240005">
      <w:start w:val="1"/>
      <w:numFmt w:val="bullet"/>
      <w:lvlText w:val=""/>
      <w:lvlJc w:val="left"/>
      <w:pPr>
        <w:ind w:left="1446" w:hanging="360"/>
      </w:pPr>
      <w:rPr>
        <w:rFonts w:ascii="Wingdings" w:hAnsi="Wingdings" w:hint="default"/>
      </w:rPr>
    </w:lvl>
    <w:lvl w:ilvl="2" w:tplc="04240005" w:tentative="1">
      <w:start w:val="1"/>
      <w:numFmt w:val="bullet"/>
      <w:lvlText w:val=""/>
      <w:lvlJc w:val="left"/>
      <w:pPr>
        <w:ind w:left="2166" w:hanging="360"/>
      </w:pPr>
      <w:rPr>
        <w:rFonts w:ascii="Wingdings" w:hAnsi="Wingdings" w:hint="default"/>
      </w:rPr>
    </w:lvl>
    <w:lvl w:ilvl="3" w:tplc="04240001" w:tentative="1">
      <w:start w:val="1"/>
      <w:numFmt w:val="bullet"/>
      <w:lvlText w:val=""/>
      <w:lvlJc w:val="left"/>
      <w:pPr>
        <w:ind w:left="2886" w:hanging="360"/>
      </w:pPr>
      <w:rPr>
        <w:rFonts w:ascii="Symbol" w:hAnsi="Symbol" w:hint="default"/>
      </w:rPr>
    </w:lvl>
    <w:lvl w:ilvl="4" w:tplc="04240003" w:tentative="1">
      <w:start w:val="1"/>
      <w:numFmt w:val="bullet"/>
      <w:lvlText w:val="o"/>
      <w:lvlJc w:val="left"/>
      <w:pPr>
        <w:ind w:left="3606" w:hanging="360"/>
      </w:pPr>
      <w:rPr>
        <w:rFonts w:ascii="Courier New" w:hAnsi="Courier New" w:cs="Courier New" w:hint="default"/>
      </w:rPr>
    </w:lvl>
    <w:lvl w:ilvl="5" w:tplc="04240005" w:tentative="1">
      <w:start w:val="1"/>
      <w:numFmt w:val="bullet"/>
      <w:lvlText w:val=""/>
      <w:lvlJc w:val="left"/>
      <w:pPr>
        <w:ind w:left="4326" w:hanging="360"/>
      </w:pPr>
      <w:rPr>
        <w:rFonts w:ascii="Wingdings" w:hAnsi="Wingdings" w:hint="default"/>
      </w:rPr>
    </w:lvl>
    <w:lvl w:ilvl="6" w:tplc="04240001" w:tentative="1">
      <w:start w:val="1"/>
      <w:numFmt w:val="bullet"/>
      <w:lvlText w:val=""/>
      <w:lvlJc w:val="left"/>
      <w:pPr>
        <w:ind w:left="5046" w:hanging="360"/>
      </w:pPr>
      <w:rPr>
        <w:rFonts w:ascii="Symbol" w:hAnsi="Symbol" w:hint="default"/>
      </w:rPr>
    </w:lvl>
    <w:lvl w:ilvl="7" w:tplc="04240003" w:tentative="1">
      <w:start w:val="1"/>
      <w:numFmt w:val="bullet"/>
      <w:lvlText w:val="o"/>
      <w:lvlJc w:val="left"/>
      <w:pPr>
        <w:ind w:left="5766" w:hanging="360"/>
      </w:pPr>
      <w:rPr>
        <w:rFonts w:ascii="Courier New" w:hAnsi="Courier New" w:cs="Courier New" w:hint="default"/>
      </w:rPr>
    </w:lvl>
    <w:lvl w:ilvl="8" w:tplc="04240005" w:tentative="1">
      <w:start w:val="1"/>
      <w:numFmt w:val="bullet"/>
      <w:lvlText w:val=""/>
      <w:lvlJc w:val="left"/>
      <w:pPr>
        <w:ind w:left="6486" w:hanging="360"/>
      </w:pPr>
      <w:rPr>
        <w:rFonts w:ascii="Wingdings" w:hAnsi="Wingdings" w:hint="default"/>
      </w:rPr>
    </w:lvl>
  </w:abstractNum>
  <w:abstractNum w:abstractNumId="24">
    <w:nsid w:val="7A9C12C6"/>
    <w:multiLevelType w:val="hybridMultilevel"/>
    <w:tmpl w:val="50E012CE"/>
    <w:lvl w:ilvl="0" w:tplc="251E4ED8">
      <w:start w:val="1"/>
      <w:numFmt w:val="upperRoman"/>
      <w:pStyle w:val="naslov1"/>
      <w:lvlText w:val="%1."/>
      <w:lvlJc w:val="left"/>
      <w:pPr>
        <w:ind w:left="720" w:hanging="360"/>
      </w:pPr>
      <w:rPr>
        <w:rFonts w:ascii="Arial" w:hAnsi="Arial" w:hint="default"/>
        <w:color w:val="auto"/>
        <w:sz w:val="22"/>
        <w:u w:val="none"/>
      </w:rPr>
    </w:lvl>
    <w:lvl w:ilvl="1" w:tplc="CB2E274A">
      <w:start w:val="1"/>
      <w:numFmt w:val="decimal"/>
      <w:lvlText w:val="(%2)"/>
      <w:lvlJc w:val="left"/>
      <w:pPr>
        <w:tabs>
          <w:tab w:val="num" w:pos="1440"/>
        </w:tabs>
        <w:ind w:left="1440" w:hanging="360"/>
      </w:pPr>
      <w:rPr>
        <w:rFonts w:hint="default"/>
        <w:color w:val="auto"/>
        <w:sz w:val="22"/>
        <w:u w:val="none"/>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7FEC6399"/>
    <w:multiLevelType w:val="hybridMultilevel"/>
    <w:tmpl w:val="76D2F822"/>
    <w:lvl w:ilvl="0" w:tplc="84B6BF7C">
      <w:start w:val="100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num w:numId="1">
    <w:abstractNumId w:val="17"/>
  </w:num>
  <w:num w:numId="2">
    <w:abstractNumId w:val="5"/>
  </w:num>
  <w:num w:numId="3">
    <w:abstractNumId w:val="16"/>
  </w:num>
  <w:num w:numId="4">
    <w:abstractNumId w:val="25"/>
  </w:num>
  <w:num w:numId="5">
    <w:abstractNumId w:val="21"/>
  </w:num>
  <w:num w:numId="6">
    <w:abstractNumId w:val="3"/>
  </w:num>
  <w:num w:numId="7">
    <w:abstractNumId w:val="9"/>
  </w:num>
  <w:num w:numId="8">
    <w:abstractNumId w:val="12"/>
  </w:num>
  <w:num w:numId="9">
    <w:abstractNumId w:val="14"/>
  </w:num>
  <w:num w:numId="10">
    <w:abstractNumId w:val="19"/>
  </w:num>
  <w:num w:numId="11">
    <w:abstractNumId w:val="6"/>
  </w:num>
  <w:num w:numId="12">
    <w:abstractNumId w:val="11"/>
  </w:num>
  <w:num w:numId="13">
    <w:abstractNumId w:val="1"/>
  </w:num>
  <w:num w:numId="14">
    <w:abstractNumId w:val="10"/>
  </w:num>
  <w:num w:numId="15">
    <w:abstractNumId w:val="15"/>
  </w:num>
  <w:num w:numId="16">
    <w:abstractNumId w:val="0"/>
  </w:num>
  <w:num w:numId="17">
    <w:abstractNumId w:val="22"/>
  </w:num>
  <w:num w:numId="18">
    <w:abstractNumId w:val="13"/>
  </w:num>
  <w:num w:numId="19">
    <w:abstractNumId w:val="23"/>
  </w:num>
  <w:num w:numId="20">
    <w:abstractNumId w:val="24"/>
  </w:num>
  <w:num w:numId="21">
    <w:abstractNumId w:val="4"/>
  </w:num>
  <w:num w:numId="22">
    <w:abstractNumId w:val="20"/>
  </w:num>
  <w:num w:numId="23">
    <w:abstractNumId w:val="2"/>
  </w:num>
  <w:num w:numId="24">
    <w:abstractNumId w:val="7"/>
  </w:num>
  <w:num w:numId="25">
    <w:abstractNumId w:val="20"/>
    <w:lvlOverride w:ilvl="0">
      <w:startOverride w:val="1"/>
    </w:lvlOverride>
  </w:num>
  <w:num w:numId="26">
    <w:abstractNumId w:val="18"/>
  </w:num>
  <w:num w:numId="27">
    <w:abstractNumId w:val="8"/>
  </w:num>
  <w:num w:numId="28">
    <w:abstractNumId w:val="2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grammar="clean"/>
  <w:stylePaneFormatFilter w:val="3F01"/>
  <w:defaultTabStop w:val="708"/>
  <w:hyphenationZone w:val="425"/>
  <w:noPunctuationKerning/>
  <w:characterSpacingControl w:val="doNotCompress"/>
  <w:hdrShapeDefaults>
    <o:shapedefaults v:ext="edit" spidmax="12290"/>
  </w:hdrShapeDefaults>
  <w:footnotePr>
    <w:footnote w:id="-1"/>
    <w:footnote w:id="0"/>
  </w:footnotePr>
  <w:endnotePr>
    <w:endnote w:id="-1"/>
    <w:endnote w:id="0"/>
  </w:endnotePr>
  <w:compat/>
  <w:rsids>
    <w:rsidRoot w:val="00E57461"/>
    <w:rsid w:val="000239ED"/>
    <w:rsid w:val="00035126"/>
    <w:rsid w:val="000638F6"/>
    <w:rsid w:val="000A4F8C"/>
    <w:rsid w:val="000C2513"/>
    <w:rsid w:val="000C2F27"/>
    <w:rsid w:val="0013440C"/>
    <w:rsid w:val="00165154"/>
    <w:rsid w:val="001A3186"/>
    <w:rsid w:val="001B19C3"/>
    <w:rsid w:val="001B68F0"/>
    <w:rsid w:val="001C3877"/>
    <w:rsid w:val="001E14C8"/>
    <w:rsid w:val="002053C9"/>
    <w:rsid w:val="00260E92"/>
    <w:rsid w:val="0026154D"/>
    <w:rsid w:val="00286AEE"/>
    <w:rsid w:val="00351FB5"/>
    <w:rsid w:val="003B15DC"/>
    <w:rsid w:val="003D3977"/>
    <w:rsid w:val="003F1C10"/>
    <w:rsid w:val="00414343"/>
    <w:rsid w:val="004529E8"/>
    <w:rsid w:val="00485386"/>
    <w:rsid w:val="004A1C5E"/>
    <w:rsid w:val="004C2C48"/>
    <w:rsid w:val="004E0D1E"/>
    <w:rsid w:val="00516E40"/>
    <w:rsid w:val="00537054"/>
    <w:rsid w:val="00537D7C"/>
    <w:rsid w:val="00552584"/>
    <w:rsid w:val="00556516"/>
    <w:rsid w:val="00584CC8"/>
    <w:rsid w:val="00586FD2"/>
    <w:rsid w:val="005A05DD"/>
    <w:rsid w:val="005C637D"/>
    <w:rsid w:val="005D1770"/>
    <w:rsid w:val="00655A2B"/>
    <w:rsid w:val="006A59E2"/>
    <w:rsid w:val="006B2948"/>
    <w:rsid w:val="006D7FDC"/>
    <w:rsid w:val="006F4E23"/>
    <w:rsid w:val="00700494"/>
    <w:rsid w:val="00732199"/>
    <w:rsid w:val="00743EF2"/>
    <w:rsid w:val="007443FD"/>
    <w:rsid w:val="00756343"/>
    <w:rsid w:val="00781D3D"/>
    <w:rsid w:val="00796087"/>
    <w:rsid w:val="007E10F3"/>
    <w:rsid w:val="00834459"/>
    <w:rsid w:val="00872692"/>
    <w:rsid w:val="00893065"/>
    <w:rsid w:val="008C67CF"/>
    <w:rsid w:val="008E163A"/>
    <w:rsid w:val="00903672"/>
    <w:rsid w:val="0093145A"/>
    <w:rsid w:val="00934950"/>
    <w:rsid w:val="0098287A"/>
    <w:rsid w:val="00B16E49"/>
    <w:rsid w:val="00B31215"/>
    <w:rsid w:val="00B354E9"/>
    <w:rsid w:val="00B656A9"/>
    <w:rsid w:val="00B73DF1"/>
    <w:rsid w:val="00B85226"/>
    <w:rsid w:val="00BA29D8"/>
    <w:rsid w:val="00BE3D65"/>
    <w:rsid w:val="00BE5AB4"/>
    <w:rsid w:val="00C17A22"/>
    <w:rsid w:val="00C31D88"/>
    <w:rsid w:val="00C34732"/>
    <w:rsid w:val="00C96FF5"/>
    <w:rsid w:val="00CA467C"/>
    <w:rsid w:val="00CB4EA8"/>
    <w:rsid w:val="00CB5979"/>
    <w:rsid w:val="00CC13A1"/>
    <w:rsid w:val="00D256AF"/>
    <w:rsid w:val="00D46ABB"/>
    <w:rsid w:val="00D804AF"/>
    <w:rsid w:val="00D86845"/>
    <w:rsid w:val="00DA6989"/>
    <w:rsid w:val="00DD0F1D"/>
    <w:rsid w:val="00DE0DEF"/>
    <w:rsid w:val="00E02743"/>
    <w:rsid w:val="00E0702A"/>
    <w:rsid w:val="00E1370E"/>
    <w:rsid w:val="00E544E0"/>
    <w:rsid w:val="00E57461"/>
    <w:rsid w:val="00EE0C70"/>
    <w:rsid w:val="00EE38A4"/>
    <w:rsid w:val="00F149FF"/>
    <w:rsid w:val="00F4003F"/>
    <w:rsid w:val="00F57AAD"/>
    <w:rsid w:val="00F66FBF"/>
    <w:rsid w:val="00F75F9A"/>
    <w:rsid w:val="00FB087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D88"/>
    <w:rPr>
      <w:sz w:val="24"/>
      <w:szCs w:val="24"/>
    </w:rPr>
  </w:style>
  <w:style w:type="paragraph" w:styleId="Heading1">
    <w:name w:val="heading 1"/>
    <w:basedOn w:val="Normal"/>
    <w:next w:val="Normal"/>
    <w:link w:val="Heading1Char"/>
    <w:uiPriority w:val="9"/>
    <w:qFormat/>
    <w:rsid w:val="00C31D88"/>
    <w:pPr>
      <w:keepNext/>
      <w:ind w:left="5196"/>
      <w:outlineLvl w:val="0"/>
    </w:pPr>
    <w:rPr>
      <w:rFonts w:ascii="Arial" w:hAnsi="Arial" w:cs="Arial"/>
      <w:b/>
      <w:bCs/>
      <w:sz w:val="18"/>
      <w:szCs w:val="18"/>
    </w:rPr>
  </w:style>
  <w:style w:type="paragraph" w:styleId="Heading2">
    <w:name w:val="heading 2"/>
    <w:basedOn w:val="Normal"/>
    <w:next w:val="Normal"/>
    <w:link w:val="Heading2Char"/>
    <w:uiPriority w:val="9"/>
    <w:semiHidden/>
    <w:unhideWhenUsed/>
    <w:qFormat/>
    <w:rsid w:val="008726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2692"/>
    <w:pPr>
      <w:keepNext/>
      <w:keepLines/>
      <w:spacing w:before="200"/>
      <w:jc w:val="both"/>
      <w:outlineLvl w:val="2"/>
    </w:pPr>
    <w:rPr>
      <w:rFonts w:asciiTheme="majorHAnsi" w:eastAsiaTheme="majorEastAsia" w:hAnsiTheme="majorHAnsi" w:cstheme="majorBidi"/>
      <w:b/>
      <w:bCs/>
      <w:color w:val="4F81BD" w:themeColor="accent1"/>
      <w:sz w:val="20"/>
      <w:szCs w:val="22"/>
      <w:lang w:eastAsia="en-US"/>
    </w:rPr>
  </w:style>
  <w:style w:type="paragraph" w:styleId="Heading5">
    <w:name w:val="heading 5"/>
    <w:basedOn w:val="Normal"/>
    <w:next w:val="Normal"/>
    <w:link w:val="Heading5Char"/>
    <w:uiPriority w:val="9"/>
    <w:unhideWhenUsed/>
    <w:qFormat/>
    <w:rsid w:val="0087269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4EA8"/>
    <w:pPr>
      <w:tabs>
        <w:tab w:val="center" w:pos="4536"/>
        <w:tab w:val="right" w:pos="9072"/>
      </w:tabs>
    </w:pPr>
  </w:style>
  <w:style w:type="paragraph" w:styleId="Footer">
    <w:name w:val="footer"/>
    <w:basedOn w:val="Normal"/>
    <w:link w:val="FooterChar"/>
    <w:uiPriority w:val="99"/>
    <w:rsid w:val="00CB4EA8"/>
    <w:pPr>
      <w:tabs>
        <w:tab w:val="center" w:pos="4536"/>
        <w:tab w:val="right" w:pos="9072"/>
      </w:tabs>
    </w:pPr>
  </w:style>
  <w:style w:type="paragraph" w:styleId="BodyTextIndent">
    <w:name w:val="Body Text Indent"/>
    <w:basedOn w:val="Normal"/>
    <w:rsid w:val="00C31D88"/>
    <w:pPr>
      <w:ind w:left="1080"/>
      <w:jc w:val="both"/>
    </w:pPr>
    <w:rPr>
      <w:rFonts w:ascii="Arial" w:hAnsi="Arial" w:cs="Arial"/>
      <w:sz w:val="22"/>
      <w:szCs w:val="14"/>
    </w:rPr>
  </w:style>
  <w:style w:type="paragraph" w:styleId="BodyText">
    <w:name w:val="Body Text"/>
    <w:basedOn w:val="Normal"/>
    <w:link w:val="BodyTextChar"/>
    <w:uiPriority w:val="99"/>
    <w:rsid w:val="00C31D88"/>
    <w:pPr>
      <w:jc w:val="both"/>
    </w:pPr>
    <w:rPr>
      <w:rFonts w:ascii="Arial" w:hAnsi="Arial" w:cs="Arial"/>
      <w:sz w:val="22"/>
      <w:szCs w:val="14"/>
    </w:rPr>
  </w:style>
  <w:style w:type="character" w:styleId="Hyperlink">
    <w:name w:val="Hyperlink"/>
    <w:basedOn w:val="DefaultParagraphFont"/>
    <w:rsid w:val="00BE3D65"/>
    <w:rPr>
      <w:color w:val="0000FF"/>
      <w:u w:val="single"/>
    </w:rPr>
  </w:style>
  <w:style w:type="paragraph" w:styleId="ListParagraph">
    <w:name w:val="List Paragraph"/>
    <w:basedOn w:val="Normal"/>
    <w:link w:val="ListParagraphChar"/>
    <w:uiPriority w:val="34"/>
    <w:qFormat/>
    <w:rsid w:val="00F66FBF"/>
    <w:pPr>
      <w:ind w:left="720"/>
      <w:contextualSpacing/>
    </w:pPr>
  </w:style>
  <w:style w:type="character" w:customStyle="1" w:styleId="Heading2Char">
    <w:name w:val="Heading 2 Char"/>
    <w:basedOn w:val="DefaultParagraphFont"/>
    <w:link w:val="Heading2"/>
    <w:uiPriority w:val="9"/>
    <w:semiHidden/>
    <w:rsid w:val="0087269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2692"/>
    <w:rPr>
      <w:rFonts w:asciiTheme="majorHAnsi" w:eastAsiaTheme="majorEastAsia" w:hAnsiTheme="majorHAnsi" w:cstheme="majorBidi"/>
      <w:b/>
      <w:bCs/>
      <w:color w:val="4F81BD" w:themeColor="accent1"/>
      <w:szCs w:val="22"/>
      <w:lang w:eastAsia="en-US"/>
    </w:rPr>
  </w:style>
  <w:style w:type="character" w:customStyle="1" w:styleId="Heading5Char">
    <w:name w:val="Heading 5 Char"/>
    <w:basedOn w:val="DefaultParagraphFont"/>
    <w:link w:val="Heading5"/>
    <w:uiPriority w:val="9"/>
    <w:rsid w:val="00872692"/>
    <w:rPr>
      <w:rFonts w:asciiTheme="minorHAnsi" w:eastAsiaTheme="minorEastAsia" w:hAnsiTheme="minorHAnsi" w:cstheme="minorBidi"/>
      <w:b/>
      <w:bCs/>
      <w:i/>
      <w:iCs/>
      <w:sz w:val="26"/>
      <w:szCs w:val="26"/>
    </w:rPr>
  </w:style>
  <w:style w:type="table" w:styleId="TableGrid">
    <w:name w:val="Table Grid"/>
    <w:basedOn w:val="TableNormal"/>
    <w:uiPriority w:val="59"/>
    <w:rsid w:val="00872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872692"/>
    <w:pPr>
      <w:spacing w:after="120" w:line="480" w:lineRule="auto"/>
    </w:pPr>
  </w:style>
  <w:style w:type="character" w:customStyle="1" w:styleId="BodyText2Char">
    <w:name w:val="Body Text 2 Char"/>
    <w:basedOn w:val="DefaultParagraphFont"/>
    <w:link w:val="BodyText2"/>
    <w:uiPriority w:val="99"/>
    <w:rsid w:val="00872692"/>
    <w:rPr>
      <w:sz w:val="24"/>
      <w:szCs w:val="24"/>
    </w:rPr>
  </w:style>
  <w:style w:type="paragraph" w:styleId="BalloonText">
    <w:name w:val="Balloon Text"/>
    <w:basedOn w:val="Normal"/>
    <w:link w:val="BalloonTextChar"/>
    <w:uiPriority w:val="99"/>
    <w:semiHidden/>
    <w:unhideWhenUsed/>
    <w:rsid w:val="00872692"/>
    <w:rPr>
      <w:rFonts w:ascii="Tahoma" w:hAnsi="Tahoma" w:cs="Tahoma"/>
      <w:sz w:val="16"/>
      <w:szCs w:val="16"/>
    </w:rPr>
  </w:style>
  <w:style w:type="character" w:customStyle="1" w:styleId="BalloonTextChar">
    <w:name w:val="Balloon Text Char"/>
    <w:basedOn w:val="DefaultParagraphFont"/>
    <w:link w:val="BalloonText"/>
    <w:uiPriority w:val="99"/>
    <w:semiHidden/>
    <w:rsid w:val="00872692"/>
    <w:rPr>
      <w:rFonts w:ascii="Tahoma" w:hAnsi="Tahoma" w:cs="Tahoma"/>
      <w:sz w:val="16"/>
      <w:szCs w:val="16"/>
    </w:rPr>
  </w:style>
  <w:style w:type="character" w:customStyle="1" w:styleId="apple-style-span">
    <w:name w:val="apple-style-span"/>
    <w:basedOn w:val="DefaultParagraphFont"/>
    <w:rsid w:val="00872692"/>
  </w:style>
  <w:style w:type="character" w:customStyle="1" w:styleId="apple-converted-space">
    <w:name w:val="apple-converted-space"/>
    <w:basedOn w:val="DefaultParagraphFont"/>
    <w:rsid w:val="00872692"/>
  </w:style>
  <w:style w:type="paragraph" w:customStyle="1" w:styleId="Default">
    <w:name w:val="Default"/>
    <w:link w:val="DefaultZnak"/>
    <w:uiPriority w:val="99"/>
    <w:rsid w:val="00872692"/>
    <w:pPr>
      <w:autoSpaceDE w:val="0"/>
      <w:autoSpaceDN w:val="0"/>
      <w:adjustRightInd w:val="0"/>
    </w:pPr>
    <w:rPr>
      <w:rFonts w:ascii="Arial" w:eastAsiaTheme="minorHAnsi" w:hAnsi="Arial" w:cs="Arial"/>
      <w:color w:val="000000"/>
      <w:sz w:val="24"/>
      <w:szCs w:val="24"/>
      <w:lang w:eastAsia="en-US"/>
    </w:rPr>
  </w:style>
  <w:style w:type="paragraph" w:customStyle="1" w:styleId="odstavek1">
    <w:name w:val="odstavek1"/>
    <w:basedOn w:val="Normal"/>
    <w:rsid w:val="00872692"/>
    <w:pPr>
      <w:spacing w:before="240"/>
      <w:ind w:firstLine="1021"/>
      <w:jc w:val="both"/>
    </w:pPr>
    <w:rPr>
      <w:rFonts w:ascii="Arial" w:hAnsi="Arial" w:cs="Arial"/>
      <w:sz w:val="22"/>
      <w:szCs w:val="22"/>
    </w:rPr>
  </w:style>
  <w:style w:type="character" w:styleId="Strong">
    <w:name w:val="Strong"/>
    <w:basedOn w:val="DefaultParagraphFont"/>
    <w:uiPriority w:val="22"/>
    <w:qFormat/>
    <w:rsid w:val="00872692"/>
    <w:rPr>
      <w:b/>
      <w:bCs/>
    </w:rPr>
  </w:style>
  <w:style w:type="paragraph" w:customStyle="1" w:styleId="LCNaslov1">
    <w:name w:val="LC Naslov 1"/>
    <w:basedOn w:val="Heading1"/>
    <w:qFormat/>
    <w:rsid w:val="00872692"/>
    <w:pPr>
      <w:keepLines/>
      <w:numPr>
        <w:numId w:val="16"/>
      </w:numPr>
      <w:tabs>
        <w:tab w:val="left" w:pos="425"/>
      </w:tabs>
      <w:spacing w:before="400" w:after="240"/>
      <w:jc w:val="both"/>
    </w:pPr>
    <w:rPr>
      <w:rFonts w:ascii="Calibri" w:eastAsiaTheme="majorEastAsia" w:hAnsi="Calibri" w:cstheme="majorBidi"/>
      <w:b w:val="0"/>
      <w:caps/>
      <w:color w:val="7BA4DB"/>
      <w:sz w:val="28"/>
      <w:szCs w:val="28"/>
      <w:lang w:eastAsia="en-US"/>
    </w:rPr>
  </w:style>
  <w:style w:type="paragraph" w:customStyle="1" w:styleId="LCNaslov2">
    <w:name w:val="LC Naslov 2"/>
    <w:basedOn w:val="Heading2"/>
    <w:qFormat/>
    <w:rsid w:val="00872692"/>
    <w:pPr>
      <w:keepLines w:val="0"/>
      <w:numPr>
        <w:ilvl w:val="1"/>
        <w:numId w:val="16"/>
      </w:numPr>
      <w:tabs>
        <w:tab w:val="left" w:pos="567"/>
      </w:tabs>
      <w:spacing w:before="480" w:after="240"/>
      <w:jc w:val="both"/>
    </w:pPr>
    <w:rPr>
      <w:rFonts w:ascii="Calibri" w:hAnsi="Calibri"/>
      <w:bCs/>
      <w:color w:val="7BA4DB"/>
      <w:sz w:val="24"/>
      <w:lang w:eastAsia="en-US"/>
    </w:rPr>
  </w:style>
  <w:style w:type="paragraph" w:customStyle="1" w:styleId="LCNaslov3">
    <w:name w:val="LC Naslov 3"/>
    <w:basedOn w:val="Heading3"/>
    <w:qFormat/>
    <w:rsid w:val="00872692"/>
    <w:pPr>
      <w:keepLines w:val="0"/>
      <w:numPr>
        <w:ilvl w:val="2"/>
        <w:numId w:val="16"/>
      </w:numPr>
      <w:spacing w:before="360" w:after="120"/>
    </w:pPr>
    <w:rPr>
      <w:rFonts w:ascii="Calibri" w:hAnsi="Calibri"/>
      <w:b w:val="0"/>
      <w:color w:val="7BA4DB"/>
    </w:rPr>
  </w:style>
  <w:style w:type="numbering" w:customStyle="1" w:styleId="Locus">
    <w:name w:val="Locus"/>
    <w:uiPriority w:val="99"/>
    <w:rsid w:val="00872692"/>
    <w:pPr>
      <w:numPr>
        <w:numId w:val="16"/>
      </w:numPr>
    </w:pPr>
  </w:style>
  <w:style w:type="paragraph" w:customStyle="1" w:styleId="TOCLCKazalo">
    <w:name w:val="TOC_LC_Kazalo"/>
    <w:basedOn w:val="TOCHeading"/>
    <w:qFormat/>
    <w:rsid w:val="00872692"/>
    <w:pPr>
      <w:spacing w:after="120" w:line="276" w:lineRule="auto"/>
    </w:pPr>
    <w:rPr>
      <w:rFonts w:ascii="Calibri" w:hAnsi="Calibri"/>
      <w:color w:val="7BA4DB"/>
      <w:sz w:val="40"/>
      <w:szCs w:val="40"/>
    </w:rPr>
  </w:style>
  <w:style w:type="paragraph" w:customStyle="1" w:styleId="LCNavadentekst">
    <w:name w:val="LC Navaden tekst"/>
    <w:basedOn w:val="Normal"/>
    <w:link w:val="LCNavadentekstChar"/>
    <w:qFormat/>
    <w:rsid w:val="00872692"/>
    <w:pPr>
      <w:spacing w:after="120"/>
      <w:jc w:val="both"/>
    </w:pPr>
    <w:rPr>
      <w:rFonts w:asciiTheme="minorHAnsi" w:eastAsia="PMingLiU" w:hAnsiTheme="minorHAnsi"/>
      <w:sz w:val="20"/>
    </w:rPr>
  </w:style>
  <w:style w:type="character" w:customStyle="1" w:styleId="LCNavadentekstChar">
    <w:name w:val="LC Navaden tekst Char"/>
    <w:basedOn w:val="DefaultParagraphFont"/>
    <w:link w:val="LCNavadentekst"/>
    <w:rsid w:val="00872692"/>
    <w:rPr>
      <w:rFonts w:asciiTheme="minorHAnsi" w:eastAsia="PMingLiU" w:hAnsiTheme="minorHAnsi"/>
      <w:szCs w:val="24"/>
    </w:rPr>
  </w:style>
  <w:style w:type="character" w:customStyle="1" w:styleId="Heading1Char">
    <w:name w:val="Heading 1 Char"/>
    <w:basedOn w:val="DefaultParagraphFont"/>
    <w:link w:val="Heading1"/>
    <w:uiPriority w:val="9"/>
    <w:rsid w:val="00872692"/>
    <w:rPr>
      <w:rFonts w:ascii="Arial" w:hAnsi="Arial" w:cs="Arial"/>
      <w:b/>
      <w:bCs/>
      <w:sz w:val="18"/>
      <w:szCs w:val="18"/>
    </w:rPr>
  </w:style>
  <w:style w:type="paragraph" w:styleId="TOCHeading">
    <w:name w:val="TOC Heading"/>
    <w:basedOn w:val="Heading1"/>
    <w:next w:val="Normal"/>
    <w:uiPriority w:val="39"/>
    <w:semiHidden/>
    <w:unhideWhenUsed/>
    <w:qFormat/>
    <w:rsid w:val="00872692"/>
    <w:pPr>
      <w:keepLines/>
      <w:spacing w:before="480"/>
      <w:ind w:left="0"/>
      <w:jc w:val="both"/>
      <w:outlineLvl w:val="9"/>
    </w:pPr>
    <w:rPr>
      <w:rFonts w:asciiTheme="majorHAnsi" w:eastAsiaTheme="majorEastAsia" w:hAnsiTheme="majorHAnsi" w:cstheme="majorBidi"/>
      <w:color w:val="365F91" w:themeColor="accent1" w:themeShade="BF"/>
      <w:sz w:val="28"/>
      <w:szCs w:val="28"/>
      <w:lang w:eastAsia="en-US"/>
    </w:rPr>
  </w:style>
  <w:style w:type="paragraph" w:styleId="NoSpacing">
    <w:name w:val="No Spacing"/>
    <w:uiPriority w:val="1"/>
    <w:qFormat/>
    <w:rsid w:val="00872692"/>
    <w:rPr>
      <w:sz w:val="24"/>
      <w:szCs w:val="24"/>
    </w:rPr>
  </w:style>
  <w:style w:type="paragraph" w:styleId="Title">
    <w:name w:val="Title"/>
    <w:basedOn w:val="Normal"/>
    <w:link w:val="TitleChar"/>
    <w:qFormat/>
    <w:rsid w:val="00872692"/>
    <w:pPr>
      <w:widowControl w:val="0"/>
      <w:adjustRightInd w:val="0"/>
      <w:spacing w:before="120" w:after="120" w:line="264" w:lineRule="auto"/>
      <w:jc w:val="center"/>
      <w:textAlignment w:val="baseline"/>
      <w:outlineLvl w:val="0"/>
    </w:pPr>
    <w:rPr>
      <w:rFonts w:ascii="Arial" w:hAnsi="Arial"/>
      <w:b/>
    </w:rPr>
  </w:style>
  <w:style w:type="character" w:customStyle="1" w:styleId="TitleChar">
    <w:name w:val="Title Char"/>
    <w:basedOn w:val="DefaultParagraphFont"/>
    <w:link w:val="Title"/>
    <w:rsid w:val="00872692"/>
    <w:rPr>
      <w:rFonts w:ascii="Arial" w:hAnsi="Arial"/>
      <w:b/>
      <w:sz w:val="24"/>
      <w:szCs w:val="24"/>
    </w:rPr>
  </w:style>
  <w:style w:type="paragraph" w:customStyle="1" w:styleId="len2">
    <w:name w:val="člen2"/>
    <w:basedOn w:val="Normal"/>
    <w:link w:val="len2Znak1"/>
    <w:autoRedefine/>
    <w:qFormat/>
    <w:rsid w:val="00872692"/>
    <w:pPr>
      <w:numPr>
        <w:numId w:val="22"/>
      </w:numPr>
    </w:pPr>
    <w:rPr>
      <w:rFonts w:ascii="Arial" w:hAnsi="Arial"/>
      <w:b/>
      <w:color w:val="C00000"/>
      <w:sz w:val="20"/>
      <w:lang w:val="en-GB" w:eastAsia="en-US"/>
    </w:rPr>
  </w:style>
  <w:style w:type="character" w:customStyle="1" w:styleId="len2Znak1">
    <w:name w:val="člen2 Znak1"/>
    <w:link w:val="len2"/>
    <w:rsid w:val="00872692"/>
    <w:rPr>
      <w:rFonts w:ascii="Arial" w:hAnsi="Arial"/>
      <w:b/>
      <w:color w:val="C00000"/>
      <w:szCs w:val="24"/>
      <w:lang w:val="en-GB" w:eastAsia="en-US"/>
    </w:rPr>
  </w:style>
  <w:style w:type="paragraph" w:customStyle="1" w:styleId="PODLEN">
    <w:name w:val="PODČLEN"/>
    <w:basedOn w:val="Normal"/>
    <w:next w:val="BodyText"/>
    <w:link w:val="PODLENZnak"/>
    <w:qFormat/>
    <w:rsid w:val="00872692"/>
    <w:pPr>
      <w:spacing w:line="360" w:lineRule="auto"/>
      <w:jc w:val="center"/>
    </w:pPr>
    <w:rPr>
      <w:rFonts w:ascii="Arial" w:hAnsi="Arial"/>
      <w:b/>
      <w:i/>
      <w:sz w:val="20"/>
      <w:lang w:val="en-GB"/>
    </w:rPr>
  </w:style>
  <w:style w:type="character" w:customStyle="1" w:styleId="BodyTextChar">
    <w:name w:val="Body Text Char"/>
    <w:link w:val="BodyText"/>
    <w:uiPriority w:val="99"/>
    <w:rsid w:val="00872692"/>
    <w:rPr>
      <w:rFonts w:ascii="Arial" w:hAnsi="Arial" w:cs="Arial"/>
      <w:sz w:val="22"/>
      <w:szCs w:val="14"/>
    </w:rPr>
  </w:style>
  <w:style w:type="character" w:customStyle="1" w:styleId="PODLENZnak">
    <w:name w:val="PODČLEN Znak"/>
    <w:link w:val="PODLEN"/>
    <w:rsid w:val="00872692"/>
    <w:rPr>
      <w:rFonts w:ascii="Arial" w:hAnsi="Arial"/>
      <w:b/>
      <w:i/>
      <w:szCs w:val="24"/>
      <w:lang w:val="en-GB"/>
    </w:rPr>
  </w:style>
  <w:style w:type="paragraph" w:customStyle="1" w:styleId="besedilonatevanje">
    <w:name w:val="besedilo naštevanje"/>
    <w:basedOn w:val="Normal"/>
    <w:link w:val="besedilonatevanjeZnak"/>
    <w:qFormat/>
    <w:rsid w:val="00872692"/>
    <w:pPr>
      <w:widowControl w:val="0"/>
      <w:numPr>
        <w:numId w:val="21"/>
      </w:numPr>
      <w:adjustRightInd w:val="0"/>
      <w:spacing w:before="120" w:after="120" w:line="264" w:lineRule="auto"/>
      <w:textAlignment w:val="baseline"/>
      <w:outlineLvl w:val="0"/>
    </w:pPr>
    <w:rPr>
      <w:rFonts w:ascii="Arial" w:hAnsi="Arial"/>
      <w:sz w:val="20"/>
      <w:szCs w:val="22"/>
    </w:rPr>
  </w:style>
  <w:style w:type="character" w:customStyle="1" w:styleId="besedilonatevanjeZnak">
    <w:name w:val="besedilo naštevanje Znak"/>
    <w:link w:val="besedilonatevanje"/>
    <w:rsid w:val="00872692"/>
    <w:rPr>
      <w:rFonts w:ascii="Arial" w:hAnsi="Arial"/>
      <w:szCs w:val="22"/>
    </w:rPr>
  </w:style>
  <w:style w:type="paragraph" w:customStyle="1" w:styleId="naslov1">
    <w:name w:val="naslov1"/>
    <w:basedOn w:val="Normal"/>
    <w:link w:val="naslov1Znak"/>
    <w:qFormat/>
    <w:rsid w:val="00872692"/>
    <w:pPr>
      <w:widowControl w:val="0"/>
      <w:numPr>
        <w:numId w:val="20"/>
      </w:numPr>
      <w:adjustRightInd w:val="0"/>
      <w:spacing w:before="120" w:after="120" w:line="264" w:lineRule="auto"/>
      <w:jc w:val="both"/>
      <w:textAlignment w:val="baseline"/>
    </w:pPr>
    <w:rPr>
      <w:rFonts w:ascii="Arial" w:hAnsi="Arial"/>
      <w:b/>
      <w:color w:val="000000"/>
      <w:sz w:val="22"/>
      <w:szCs w:val="22"/>
    </w:rPr>
  </w:style>
  <w:style w:type="character" w:customStyle="1" w:styleId="naslov1Znak">
    <w:name w:val="naslov1 Znak"/>
    <w:link w:val="naslov1"/>
    <w:rsid w:val="00872692"/>
    <w:rPr>
      <w:rFonts w:ascii="Arial" w:hAnsi="Arial"/>
      <w:b/>
      <w:color w:val="000000"/>
      <w:sz w:val="22"/>
      <w:szCs w:val="22"/>
    </w:rPr>
  </w:style>
  <w:style w:type="paragraph" w:customStyle="1" w:styleId="tabela">
    <w:name w:val="tabela"/>
    <w:basedOn w:val="Normal"/>
    <w:link w:val="tabelaZnak"/>
    <w:qFormat/>
    <w:rsid w:val="00872692"/>
    <w:pPr>
      <w:tabs>
        <w:tab w:val="left" w:pos="425"/>
        <w:tab w:val="left" w:pos="851"/>
      </w:tabs>
      <w:spacing w:line="264" w:lineRule="auto"/>
      <w:ind w:right="-12"/>
    </w:pPr>
    <w:rPr>
      <w:rFonts w:ascii="Arial" w:hAnsi="Arial"/>
      <w:sz w:val="18"/>
      <w:szCs w:val="22"/>
    </w:rPr>
  </w:style>
  <w:style w:type="character" w:customStyle="1" w:styleId="tabelaZnak">
    <w:name w:val="tabela Znak"/>
    <w:link w:val="tabela"/>
    <w:rsid w:val="00872692"/>
    <w:rPr>
      <w:rFonts w:ascii="Arial" w:hAnsi="Arial"/>
      <w:sz w:val="18"/>
      <w:szCs w:val="22"/>
    </w:rPr>
  </w:style>
  <w:style w:type="character" w:customStyle="1" w:styleId="ListParagraphChar">
    <w:name w:val="List Paragraph Char"/>
    <w:link w:val="ListParagraph"/>
    <w:uiPriority w:val="34"/>
    <w:rsid w:val="00872692"/>
    <w:rPr>
      <w:sz w:val="24"/>
      <w:szCs w:val="24"/>
    </w:rPr>
  </w:style>
  <w:style w:type="character" w:styleId="CommentReference">
    <w:name w:val="annotation reference"/>
    <w:uiPriority w:val="99"/>
    <w:semiHidden/>
    <w:unhideWhenUsed/>
    <w:rsid w:val="00872692"/>
    <w:rPr>
      <w:sz w:val="16"/>
      <w:szCs w:val="16"/>
    </w:rPr>
  </w:style>
  <w:style w:type="paragraph" w:styleId="CommentText">
    <w:name w:val="annotation text"/>
    <w:basedOn w:val="Normal"/>
    <w:link w:val="CommentTextChar"/>
    <w:uiPriority w:val="99"/>
    <w:unhideWhenUsed/>
    <w:rsid w:val="00872692"/>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872692"/>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872692"/>
    <w:rPr>
      <w:b/>
      <w:bCs/>
    </w:rPr>
  </w:style>
  <w:style w:type="character" w:customStyle="1" w:styleId="CommentSubjectChar">
    <w:name w:val="Comment Subject Char"/>
    <w:basedOn w:val="CommentTextChar"/>
    <w:link w:val="CommentSubject"/>
    <w:uiPriority w:val="99"/>
    <w:semiHidden/>
    <w:rsid w:val="00872692"/>
    <w:rPr>
      <w:rFonts w:ascii="Calibri" w:eastAsia="Calibri" w:hAnsi="Calibri"/>
      <w:b/>
      <w:bCs/>
      <w:lang w:eastAsia="en-US"/>
    </w:rPr>
  </w:style>
  <w:style w:type="paragraph" w:customStyle="1" w:styleId="tabelalevo">
    <w:name w:val="tabelalevo"/>
    <w:basedOn w:val="Normal"/>
    <w:rsid w:val="00872692"/>
    <w:pPr>
      <w:suppressAutoHyphens/>
      <w:autoSpaceDN w:val="0"/>
      <w:spacing w:before="40"/>
      <w:ind w:left="357"/>
      <w:textAlignment w:val="baseline"/>
    </w:pPr>
    <w:rPr>
      <w:sz w:val="16"/>
      <w:szCs w:val="20"/>
    </w:rPr>
  </w:style>
  <w:style w:type="character" w:customStyle="1" w:styleId="HeaderChar">
    <w:name w:val="Header Char"/>
    <w:link w:val="Header"/>
    <w:uiPriority w:val="99"/>
    <w:rsid w:val="00872692"/>
    <w:rPr>
      <w:sz w:val="24"/>
      <w:szCs w:val="24"/>
    </w:rPr>
  </w:style>
  <w:style w:type="character" w:customStyle="1" w:styleId="FooterChar">
    <w:name w:val="Footer Char"/>
    <w:link w:val="Footer"/>
    <w:uiPriority w:val="99"/>
    <w:rsid w:val="00872692"/>
    <w:rPr>
      <w:sz w:val="24"/>
      <w:szCs w:val="24"/>
    </w:rPr>
  </w:style>
  <w:style w:type="paragraph" w:customStyle="1" w:styleId="Glava1">
    <w:name w:val="Glava1"/>
    <w:basedOn w:val="Normal"/>
    <w:link w:val="GlavaZnak"/>
    <w:rsid w:val="00872692"/>
    <w:pPr>
      <w:spacing w:after="200" w:line="276" w:lineRule="auto"/>
    </w:pPr>
    <w:rPr>
      <w:rFonts w:ascii="Calibri" w:eastAsia="Calibri" w:hAnsi="Calibri"/>
      <w:sz w:val="22"/>
      <w:szCs w:val="22"/>
      <w:lang w:eastAsia="en-US"/>
    </w:rPr>
  </w:style>
  <w:style w:type="character" w:customStyle="1" w:styleId="GlavaZnak">
    <w:name w:val="Glava Znak"/>
    <w:basedOn w:val="DefaultParagraphFont"/>
    <w:link w:val="Glava1"/>
    <w:locked/>
    <w:rsid w:val="00872692"/>
    <w:rPr>
      <w:rFonts w:ascii="Calibri" w:eastAsia="Calibri" w:hAnsi="Calibri"/>
      <w:sz w:val="22"/>
      <w:szCs w:val="22"/>
      <w:lang w:eastAsia="en-US"/>
    </w:rPr>
  </w:style>
  <w:style w:type="paragraph" w:customStyle="1" w:styleId="Noga1">
    <w:name w:val="Noga1"/>
    <w:basedOn w:val="Normal"/>
    <w:link w:val="NogaZnak"/>
    <w:rsid w:val="00872692"/>
    <w:pPr>
      <w:spacing w:after="200" w:line="276" w:lineRule="auto"/>
    </w:pPr>
    <w:rPr>
      <w:rFonts w:ascii="Calibri" w:eastAsia="Calibri" w:hAnsi="Calibri"/>
      <w:sz w:val="22"/>
      <w:szCs w:val="22"/>
      <w:lang w:eastAsia="en-US"/>
    </w:rPr>
  </w:style>
  <w:style w:type="character" w:customStyle="1" w:styleId="NogaZnak">
    <w:name w:val="Noga Znak"/>
    <w:basedOn w:val="DefaultParagraphFont"/>
    <w:link w:val="Noga1"/>
    <w:locked/>
    <w:rsid w:val="00872692"/>
    <w:rPr>
      <w:rFonts w:ascii="Calibri" w:eastAsia="Calibri" w:hAnsi="Calibri"/>
      <w:sz w:val="22"/>
      <w:szCs w:val="22"/>
      <w:lang w:eastAsia="en-US"/>
    </w:rPr>
  </w:style>
  <w:style w:type="character" w:customStyle="1" w:styleId="DefaultZnak">
    <w:name w:val="Default Znak"/>
    <w:link w:val="Default"/>
    <w:uiPriority w:val="99"/>
    <w:locked/>
    <w:rsid w:val="00872692"/>
    <w:rPr>
      <w:rFonts w:ascii="Arial" w:eastAsiaTheme="minorHAnsi" w:hAnsi="Arial" w:cs="Arial"/>
      <w:color w:val="000000"/>
      <w:sz w:val="24"/>
      <w:szCs w:val="24"/>
      <w:lang w:eastAsia="en-US"/>
    </w:rPr>
  </w:style>
  <w:style w:type="paragraph" w:styleId="Revision">
    <w:name w:val="Revision"/>
    <w:hidden/>
    <w:uiPriority w:val="99"/>
    <w:semiHidden/>
    <w:rsid w:val="0083445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89799D265B6246BBDCB25E95EE1550" ma:contentTypeVersion="0" ma:contentTypeDescription="Create a new document." ma:contentTypeScope="" ma:versionID="fcc6458d4f8098fa0908e8b59288d21a">
  <xsd:schema xmlns:xsd="http://www.w3.org/2001/XMLSchema" xmlns:xs="http://www.w3.org/2001/XMLSchema" xmlns:p="http://schemas.microsoft.com/office/2006/metadata/properties" targetNamespace="http://schemas.microsoft.com/office/2006/metadata/properties" ma:root="true" ma:fieldsID="dad8e2fd0b9072369fc311e0f6889ce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754609-9606-4DA9-BDDF-143F318F2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B8872A-69DA-4D0C-87D0-CC4F5B28EEC6}">
  <ds:schemaRefs>
    <ds:schemaRef ds:uri="http://schemas.microsoft.com/sharepoint/v3/contenttype/forms"/>
  </ds:schemaRefs>
</ds:datastoreItem>
</file>

<file path=customXml/itemProps3.xml><?xml version="1.0" encoding="utf-8"?>
<ds:datastoreItem xmlns:ds="http://schemas.openxmlformats.org/officeDocument/2006/customXml" ds:itemID="{62FC2365-A233-452C-B977-80CA7DD63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F1870B-AC4A-4E26-AD2D-C8D9F9F1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4669</Words>
  <Characters>26614</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Na podlagi 28</vt:lpstr>
    </vt:vector>
  </TitlesOfParts>
  <Company>HP</Company>
  <LinksUpToDate>false</LinksUpToDate>
  <CharactersWithSpaces>31221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28</dc:title>
  <dc:creator>Nataša Dobravec</dc:creator>
  <cp:lastModifiedBy>katarinad</cp:lastModifiedBy>
  <cp:revision>3</cp:revision>
  <cp:lastPrinted>2020-07-06T07:18:00Z</cp:lastPrinted>
  <dcterms:created xsi:type="dcterms:W3CDTF">2026-05-18T11:59:00Z</dcterms:created>
  <dcterms:modified xsi:type="dcterms:W3CDTF">2026-05-18T11:59:00Z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0x0101001389799D265B6246BBDCB25E95EE1550</vt:lpwstr>
  </property>
  <property fmtid="{D5CDD505-2E9C-101B-9397-08002B2CF9AE}" pid="3" name="IsMyDocuments">
    <vt:bool>true</vt:bool>
  </property>
</Properties>
</file>