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EF10" w14:textId="5639C351" w:rsidR="008C4B1A" w:rsidRDefault="008C4B1A" w:rsidP="008C4B1A">
      <w:pPr>
        <w:jc w:val="center"/>
        <w:rPr>
          <w:b/>
          <w:bCs/>
        </w:rPr>
      </w:pPr>
      <w:r>
        <w:rPr>
          <w:b/>
          <w:bCs/>
        </w:rPr>
        <w:t>IZJAVA VLAGATELJA O SEZNANJENOSTI S POGOJI PLAKATIRANJA</w:t>
      </w:r>
    </w:p>
    <w:p w14:paraId="0106D086" w14:textId="7D7A4CD6" w:rsidR="008C4B1A" w:rsidRDefault="008C4B1A">
      <w:pPr>
        <w:rPr>
          <w:b/>
          <w:bCs/>
        </w:rPr>
      </w:pPr>
    </w:p>
    <w:p w14:paraId="57E2BBBB" w14:textId="4594F80E" w:rsidR="008C4B1A" w:rsidRDefault="008C4B1A" w:rsidP="007F3229">
      <w:pPr>
        <w:jc w:val="both"/>
      </w:pPr>
      <w:r>
        <w:t>Spodaj podpisani ___________________ s svojim podpisom te izjave potrjujem, da sem seznanjen s pogoji plakatiranja na območju Občine Šmartno pri Litiji in prevzemam odgovornost, da bo začasno plakatiranje opravljeno skladno s spodnjimi pogoji.</w:t>
      </w:r>
    </w:p>
    <w:p w14:paraId="236045B5" w14:textId="3F5EF11E" w:rsidR="008C4B1A" w:rsidRDefault="008C4B1A" w:rsidP="007F3229">
      <w:pPr>
        <w:jc w:val="both"/>
      </w:pPr>
    </w:p>
    <w:p w14:paraId="3854E6DD" w14:textId="128D7EC6" w:rsidR="008C4B1A" w:rsidRPr="007F3229" w:rsidRDefault="008C4B1A" w:rsidP="007F3229">
      <w:pPr>
        <w:jc w:val="both"/>
        <w:rPr>
          <w:b/>
          <w:bCs/>
        </w:rPr>
      </w:pPr>
      <w:r w:rsidRPr="007F3229">
        <w:rPr>
          <w:b/>
          <w:bCs/>
        </w:rPr>
        <w:t>Pogoji plakatiranja</w:t>
      </w:r>
      <w:r w:rsidR="007F3229" w:rsidRPr="007F3229">
        <w:rPr>
          <w:b/>
          <w:bCs/>
        </w:rPr>
        <w:t xml:space="preserve"> na podlagi Odloka o oglaševanju in plakatiranju v Občini Šmartno pri Litiji (Uradni list RS, št, 113/24)</w:t>
      </w:r>
      <w:r w:rsidRPr="007F3229">
        <w:rPr>
          <w:b/>
          <w:bCs/>
        </w:rPr>
        <w:t>:</w:t>
      </w:r>
    </w:p>
    <w:p w14:paraId="77E9C52A" w14:textId="3243D4D8" w:rsidR="008C4B1A" w:rsidRDefault="008C4B1A" w:rsidP="007F3229">
      <w:pPr>
        <w:pStyle w:val="Odstavekseznama"/>
        <w:numPr>
          <w:ilvl w:val="0"/>
          <w:numId w:val="1"/>
        </w:numPr>
        <w:jc w:val="both"/>
      </w:pPr>
      <w:r>
        <w:t>p</w:t>
      </w:r>
      <w:r w:rsidRPr="008C4B1A">
        <w:t>remična plakatna mesta so prenosljivi A panoji v velikosti do 707×1000 mm, plakati v velikosti do 500 × 700 mm (velikost B2), transparenti v velikosti do višine največ 1 m in dolžine največ 6 m, reklame na javnih in drugih vozilih ter slikovno ali pisno obdelana vozila (le za oglaševanje za lastne potrebe) in drugi podobni premični objekti in naprave</w:t>
      </w:r>
      <w:r>
        <w:t>;</w:t>
      </w:r>
    </w:p>
    <w:p w14:paraId="6F492E38" w14:textId="6A45896C" w:rsidR="008C4B1A" w:rsidRDefault="007F3229" w:rsidP="007F3229">
      <w:pPr>
        <w:pStyle w:val="Odstavekseznama"/>
        <w:numPr>
          <w:ilvl w:val="0"/>
          <w:numId w:val="1"/>
        </w:numPr>
        <w:jc w:val="both"/>
      </w:pPr>
      <w:r>
        <w:t>n</w:t>
      </w:r>
      <w:r w:rsidR="00EE3D82" w:rsidRPr="00EE3D82">
        <w:t>ameščanje plakatov je dovoljeno na premičnih plakatnih mestih, ki so namenjena kratkotrajnemu oziroma začasnemu oglaševanju v času prireditev in se namestijo za čas oglaševanja posameznega enkratnega dogodka in nato odstranijo v najkrajšem možnem času oziroma najkasneje v treh dneh od zaključka dogodka, ki ga oglašujejo. Površina, na kateri se izvaja kratkotrajno oziroma začasno oglaševanje, ne sme biti varovana s posebnimi predpisi</w:t>
      </w:r>
      <w:r w:rsidR="008B2A14">
        <w:t xml:space="preserve">. </w:t>
      </w:r>
      <w:r w:rsidR="008B2A14" w:rsidRPr="008B2A14">
        <w:t>Premična plakatna mesta morajo biti postavljena v skladu z vsakokratno veljavno prostorsko in prometno zakonodajo ter odlokom</w:t>
      </w:r>
      <w:r w:rsidR="008B2A14">
        <w:t>.</w:t>
      </w:r>
    </w:p>
    <w:p w14:paraId="4E358C9B" w14:textId="7591BE49" w:rsidR="007F3229" w:rsidRDefault="007F3229" w:rsidP="007F3229">
      <w:pPr>
        <w:pStyle w:val="Odstavekseznama"/>
        <w:numPr>
          <w:ilvl w:val="0"/>
          <w:numId w:val="1"/>
        </w:numPr>
        <w:jc w:val="both"/>
      </w:pPr>
      <w:r>
        <w:t>n</w:t>
      </w:r>
      <w:r>
        <w:t>ameščanje plakatov izven dovoljenih plakatnih mest je prepovedano</w:t>
      </w:r>
      <w:r>
        <w:t>;</w:t>
      </w:r>
    </w:p>
    <w:p w14:paraId="775FEE7F" w14:textId="530EA1B9" w:rsidR="007F3229" w:rsidRDefault="007F3229" w:rsidP="007F3229">
      <w:pPr>
        <w:pStyle w:val="Odstavekseznama"/>
        <w:numPr>
          <w:ilvl w:val="0"/>
          <w:numId w:val="1"/>
        </w:numPr>
        <w:jc w:val="both"/>
      </w:pPr>
      <w:r>
        <w:t>p</w:t>
      </w:r>
      <w:r>
        <w:t>repovedana je nenamenska uporaba in poškodovanje objektov ali naprav za oglaševanje ter plakatiranje in poškodovanje vsebine oglaševanja</w:t>
      </w:r>
      <w:r>
        <w:t>;</w:t>
      </w:r>
    </w:p>
    <w:p w14:paraId="364D7653" w14:textId="3952C96F" w:rsidR="007F3229" w:rsidRDefault="007F3229" w:rsidP="007F3229">
      <w:pPr>
        <w:pStyle w:val="Odstavekseznama"/>
        <w:numPr>
          <w:ilvl w:val="0"/>
          <w:numId w:val="1"/>
        </w:numPr>
        <w:jc w:val="both"/>
      </w:pPr>
      <w:r>
        <w:t>m</w:t>
      </w:r>
      <w:r>
        <w:t xml:space="preserve">etanje oziroma </w:t>
      </w:r>
      <w:proofErr w:type="spellStart"/>
      <w:r>
        <w:t>raztrosevanje</w:t>
      </w:r>
      <w:proofErr w:type="spellEnd"/>
      <w:r>
        <w:t xml:space="preserve"> letakov in drugih podobnih vsebin oglaševanja v odprte prostore in zatikanje ali lepljenje na vozila je prepovedano</w:t>
      </w:r>
      <w:r>
        <w:t>;</w:t>
      </w:r>
    </w:p>
    <w:p w14:paraId="54C10F1D" w14:textId="1F1B62F9" w:rsidR="007F3229" w:rsidRDefault="007F3229" w:rsidP="007F3229">
      <w:pPr>
        <w:pStyle w:val="Odstavekseznama"/>
        <w:numPr>
          <w:ilvl w:val="0"/>
          <w:numId w:val="1"/>
        </w:numPr>
        <w:jc w:val="both"/>
      </w:pPr>
      <w:r>
        <w:t>z</w:t>
      </w:r>
      <w:r>
        <w:t xml:space="preserve"> na novo nameščenim plakatom se ne sme prekriti že nalepljenega plakata, ki oglašuje oziroma vabi na prireditev, ki se še ni zgodila</w:t>
      </w:r>
      <w:r>
        <w:t>;</w:t>
      </w:r>
    </w:p>
    <w:p w14:paraId="69B3C5A1" w14:textId="5E476E19" w:rsidR="007F3229" w:rsidRDefault="007F3229" w:rsidP="007F3229">
      <w:pPr>
        <w:pStyle w:val="Odstavekseznama"/>
        <w:numPr>
          <w:ilvl w:val="0"/>
          <w:numId w:val="1"/>
        </w:numPr>
        <w:jc w:val="both"/>
      </w:pPr>
      <w:r>
        <w:t>b</w:t>
      </w:r>
      <w:r>
        <w:t>rez dovoljenja pristojnega občinskega organa je oglaševanje na vozilih in prikolicah s plakati in drugimi podobnimi načini oglaševanja (svetlobni, vrtljivi), prepovedano. Izjema so pisno ali slikovno obdelana vozila za oglaševanje za lastne potrebe</w:t>
      </w:r>
      <w:r>
        <w:t>;</w:t>
      </w:r>
    </w:p>
    <w:p w14:paraId="65F65E02" w14:textId="2A4703C3" w:rsidR="007F3229" w:rsidRDefault="007F3229" w:rsidP="007F3229">
      <w:pPr>
        <w:pStyle w:val="Odstavekseznama"/>
        <w:numPr>
          <w:ilvl w:val="0"/>
          <w:numId w:val="1"/>
        </w:numPr>
        <w:jc w:val="both"/>
      </w:pPr>
      <w:r>
        <w:t>i</w:t>
      </w:r>
      <w:r>
        <w:t>zvajalec plakatiranja plakatov mora poskrbeti:</w:t>
      </w:r>
    </w:p>
    <w:p w14:paraId="3781636B" w14:textId="231341E4" w:rsidR="007F3229" w:rsidRDefault="007F3229" w:rsidP="007F3229">
      <w:pPr>
        <w:pStyle w:val="Odstavekseznama"/>
        <w:numPr>
          <w:ilvl w:val="1"/>
          <w:numId w:val="1"/>
        </w:numPr>
        <w:jc w:val="both"/>
      </w:pPr>
      <w:r>
        <w:t>da so plakati oziroma drugi oglasi pravilno nameščeni na plakatno mesto in ne presegajo njegove površine;</w:t>
      </w:r>
    </w:p>
    <w:p w14:paraId="79CFE0E6" w14:textId="58898325" w:rsidR="007F3229" w:rsidRDefault="007F3229" w:rsidP="007F3229">
      <w:pPr>
        <w:pStyle w:val="Odstavekseznama"/>
        <w:numPr>
          <w:ilvl w:val="1"/>
          <w:numId w:val="1"/>
        </w:numPr>
        <w:jc w:val="both"/>
      </w:pPr>
      <w:r>
        <w:t>d</w:t>
      </w:r>
      <w:r>
        <w:t>a so poškodovani in onesnaženi plakati oziroma drugi oglasi odstranjeni;</w:t>
      </w:r>
    </w:p>
    <w:p w14:paraId="36F3E060" w14:textId="75D460E6" w:rsidR="007F3229" w:rsidRDefault="007F3229" w:rsidP="007F3229">
      <w:pPr>
        <w:pStyle w:val="Odstavekseznama"/>
        <w:numPr>
          <w:ilvl w:val="1"/>
          <w:numId w:val="1"/>
        </w:numPr>
        <w:jc w:val="both"/>
      </w:pPr>
      <w:r>
        <w:t>da so plakati oziroma drugi oglasi, ki oglašujejo enkratne dogodke (prireditve, sejme, koncerte ipd.) odstranjeni s plakatnih mest v roku treh dni po preteku dogodka, če gre za začasna plakatna mesta, oziroma v sedmih dni po preteku dogodka, ki ga oglašujejo, če gre za stalna plakatna mesta;</w:t>
      </w:r>
    </w:p>
    <w:p w14:paraId="44F3906D" w14:textId="73B4B630" w:rsidR="007F3229" w:rsidRDefault="007F3229" w:rsidP="007F3229">
      <w:pPr>
        <w:pStyle w:val="Odstavekseznama"/>
        <w:numPr>
          <w:ilvl w:val="1"/>
          <w:numId w:val="1"/>
        </w:numPr>
        <w:jc w:val="both"/>
      </w:pPr>
      <w:r>
        <w:t>da so odstranjeni odpadki odlepljenega ali kako drugače poškodovanega plakata;</w:t>
      </w:r>
    </w:p>
    <w:p w14:paraId="4EF87F5C" w14:textId="7A5EC239" w:rsidR="007F3229" w:rsidRDefault="007F3229" w:rsidP="007F3229">
      <w:pPr>
        <w:pStyle w:val="Odstavekseznama"/>
        <w:numPr>
          <w:ilvl w:val="1"/>
          <w:numId w:val="1"/>
        </w:numPr>
        <w:jc w:val="both"/>
      </w:pPr>
      <w:r>
        <w:t>da se z na novo nameščenim plakatom oziroma drugim oglasom ne prekrije že nameščenega plakata oziroma drugega oglasa, ki oglašuje ali vabi na dogodek, ki se še ni zgodil;</w:t>
      </w:r>
    </w:p>
    <w:p w14:paraId="75579A75" w14:textId="3D4D2643" w:rsidR="007F3229" w:rsidRDefault="007F3229" w:rsidP="007F3229">
      <w:pPr>
        <w:pStyle w:val="Odstavekseznama"/>
        <w:numPr>
          <w:ilvl w:val="1"/>
          <w:numId w:val="1"/>
        </w:numPr>
        <w:jc w:val="both"/>
      </w:pPr>
      <w:r>
        <w:t>da so plakatna mesta vzdrževana in njihova okolica urejena</w:t>
      </w:r>
      <w:r>
        <w:t>.</w:t>
      </w:r>
    </w:p>
    <w:p w14:paraId="53C1ADAF" w14:textId="1B8BC579" w:rsidR="007F3229" w:rsidRDefault="007F3229" w:rsidP="007F3229">
      <w:pPr>
        <w:jc w:val="both"/>
      </w:pPr>
    </w:p>
    <w:p w14:paraId="5C2375DE" w14:textId="76F85D92" w:rsidR="007F3229" w:rsidRDefault="007F3229" w:rsidP="007F3229">
      <w:pPr>
        <w:jc w:val="both"/>
        <w:rPr>
          <w:b/>
          <w:bCs/>
        </w:rPr>
      </w:pPr>
      <w:r>
        <w:rPr>
          <w:b/>
          <w:bCs/>
        </w:rPr>
        <w:lastRenderedPageBreak/>
        <w:t>Pogoji plakatiranja na podlagi Zakona o cestah (</w:t>
      </w:r>
      <w:r w:rsidRPr="007F3229">
        <w:rPr>
          <w:b/>
          <w:bCs/>
        </w:rPr>
        <w:t>Uradni list RS, št. 132/22, 140/22 – ZSDH-1A, 29/23 in 78/23 – ZUNPEOVE</w:t>
      </w:r>
      <w:r>
        <w:rPr>
          <w:b/>
          <w:bCs/>
        </w:rPr>
        <w:t>):</w:t>
      </w:r>
    </w:p>
    <w:p w14:paraId="5CD5412D" w14:textId="77777777" w:rsidR="007F3229" w:rsidRPr="007F3229" w:rsidRDefault="007F3229" w:rsidP="007F3229">
      <w:pPr>
        <w:jc w:val="center"/>
        <w:rPr>
          <w:b/>
          <w:bCs/>
        </w:rPr>
      </w:pPr>
      <w:r w:rsidRPr="007F3229">
        <w:rPr>
          <w:b/>
          <w:bCs/>
        </w:rPr>
        <w:t>89. člen</w:t>
      </w:r>
    </w:p>
    <w:p w14:paraId="7C323290" w14:textId="77777777" w:rsidR="007F3229" w:rsidRPr="007F3229" w:rsidRDefault="007F3229" w:rsidP="007F3229">
      <w:pPr>
        <w:jc w:val="center"/>
        <w:rPr>
          <w:b/>
          <w:bCs/>
        </w:rPr>
      </w:pPr>
      <w:r w:rsidRPr="007F3229">
        <w:rPr>
          <w:b/>
          <w:bCs/>
        </w:rPr>
        <w:t>(oglaševanje ob državnih cestah)</w:t>
      </w:r>
    </w:p>
    <w:p w14:paraId="2CCAA8A3" w14:textId="77777777" w:rsidR="007F3229" w:rsidRPr="007F3229" w:rsidRDefault="007F3229" w:rsidP="007F3229">
      <w:pPr>
        <w:jc w:val="both"/>
      </w:pPr>
      <w:r w:rsidRPr="007F3229">
        <w:t xml:space="preserve">(1) Objekti za oglaševanje ob državnih cestah so lahko reklamni stolpi, stebri (npr. totemi, </w:t>
      </w:r>
      <w:proofErr w:type="spellStart"/>
      <w:r w:rsidRPr="007F3229">
        <w:t>piloni</w:t>
      </w:r>
      <w:proofErr w:type="spellEnd"/>
      <w:r w:rsidRPr="007F3229">
        <w:t>), plakatni panoji, oglasne deske, nosilci in drogovi nadcestnih transparentov in zastav, svetlobne vitrine kot del nadstrešnic avtobusnih postajališč ter drugi nepremični in premični namenski nosilci.</w:t>
      </w:r>
    </w:p>
    <w:p w14:paraId="75B44576" w14:textId="77777777" w:rsidR="007F3229" w:rsidRPr="007F3229" w:rsidRDefault="007F3229" w:rsidP="007F3229">
      <w:pPr>
        <w:jc w:val="both"/>
      </w:pPr>
      <w:r w:rsidRPr="007F3229">
        <w:t>(2) Postavljanje oziroma uporaba objektov za oglaševanje je v območju državne ceste zunaj naselja prepovedano.</w:t>
      </w:r>
    </w:p>
    <w:p w14:paraId="1FD9AE50" w14:textId="77777777" w:rsidR="007F3229" w:rsidRPr="007F3229" w:rsidRDefault="007F3229" w:rsidP="007F3229">
      <w:pPr>
        <w:jc w:val="both"/>
      </w:pPr>
      <w:r w:rsidRPr="007F3229">
        <w:t>(3) Ne glede na prejšnji odstavek je v območju državne ceste zunaj naselja dopustna postavitev objekta za oglaševanje:</w:t>
      </w:r>
    </w:p>
    <w:p w14:paraId="7D010302" w14:textId="3806E45E" w:rsidR="007F3229" w:rsidRPr="007F3229" w:rsidRDefault="007F3229" w:rsidP="007F3229">
      <w:pPr>
        <w:pStyle w:val="Odstavekseznama"/>
        <w:numPr>
          <w:ilvl w:val="0"/>
          <w:numId w:val="1"/>
        </w:numPr>
        <w:jc w:val="both"/>
      </w:pPr>
      <w:r w:rsidRPr="007F3229">
        <w:t>če ima objekt za oglaševanje funkcijo usmerjanja in se namešča tik ob ali na stavbi gospodarskega subjekta, ki ima sedež v tej stavbi, in je ta v varovalnem pasu državne ceste z neposrednim cestnim priključkom na to cesto;</w:t>
      </w:r>
    </w:p>
    <w:p w14:paraId="2ADD5CAA" w14:textId="6A50E317" w:rsidR="007F3229" w:rsidRPr="007F3229" w:rsidRDefault="007F3229" w:rsidP="007F3229">
      <w:pPr>
        <w:pStyle w:val="Odstavekseznama"/>
        <w:numPr>
          <w:ilvl w:val="0"/>
          <w:numId w:val="1"/>
        </w:numPr>
        <w:jc w:val="both"/>
      </w:pPr>
      <w:r w:rsidRPr="007F3229">
        <w:t xml:space="preserve">kot reklamni steber (npr. totem, </w:t>
      </w:r>
      <w:proofErr w:type="spellStart"/>
      <w:r w:rsidRPr="007F3229">
        <w:t>pilon</w:t>
      </w:r>
      <w:proofErr w:type="spellEnd"/>
      <w:r w:rsidRPr="007F3229">
        <w:t>) v območju kompleksa gospodarskega subjekta, na katerem je lahko le logotip gospodarskega subjekta in druge nujne informacije (npr. cene derivatov na postajah za oskrbo vozil z gorivi, delovni čas postaje oziroma drugega gospodarskega subjekta).</w:t>
      </w:r>
    </w:p>
    <w:p w14:paraId="09389FD5" w14:textId="77777777" w:rsidR="007F3229" w:rsidRPr="007F3229" w:rsidRDefault="007F3229" w:rsidP="007F3229">
      <w:pPr>
        <w:pStyle w:val="Odstavekseznama"/>
        <w:numPr>
          <w:ilvl w:val="0"/>
          <w:numId w:val="1"/>
        </w:numPr>
        <w:jc w:val="both"/>
      </w:pPr>
      <w:r w:rsidRPr="007F3229">
        <w:t>(4) Objekti za oglaševanje se lahko ob državnih cestah v naselju postavljajo in uporabljajo izven:</w:t>
      </w:r>
    </w:p>
    <w:p w14:paraId="5C585916" w14:textId="51811AC0" w:rsidR="007F3229" w:rsidRPr="007F3229" w:rsidRDefault="007F3229" w:rsidP="007F3229">
      <w:pPr>
        <w:pStyle w:val="Odstavekseznama"/>
        <w:numPr>
          <w:ilvl w:val="0"/>
          <w:numId w:val="1"/>
        </w:numPr>
        <w:jc w:val="both"/>
      </w:pPr>
      <w:r w:rsidRPr="007F3229">
        <w:t>preglednega polja in pregledne berme ceste;</w:t>
      </w:r>
    </w:p>
    <w:p w14:paraId="445E8F5D" w14:textId="10B75862" w:rsidR="007F3229" w:rsidRPr="007F3229" w:rsidRDefault="007F3229" w:rsidP="007F3229">
      <w:pPr>
        <w:pStyle w:val="Odstavekseznama"/>
        <w:numPr>
          <w:ilvl w:val="0"/>
          <w:numId w:val="1"/>
        </w:numPr>
        <w:jc w:val="both"/>
      </w:pPr>
      <w:proofErr w:type="spellStart"/>
      <w:r w:rsidRPr="007F3229">
        <w:t>preglednostnega</w:t>
      </w:r>
      <w:proofErr w:type="spellEnd"/>
      <w:r w:rsidRPr="007F3229">
        <w:t xml:space="preserve"> prostora prehoda ceste čez železniško progo v isti ravnini;</w:t>
      </w:r>
    </w:p>
    <w:p w14:paraId="7AAEAB9D" w14:textId="58B14AFB" w:rsidR="007F3229" w:rsidRPr="007F3229" w:rsidRDefault="007F3229" w:rsidP="007F3229">
      <w:pPr>
        <w:pStyle w:val="Odstavekseznama"/>
        <w:numPr>
          <w:ilvl w:val="0"/>
          <w:numId w:val="1"/>
        </w:numPr>
        <w:jc w:val="both"/>
      </w:pPr>
      <w:r w:rsidRPr="007F3229">
        <w:t>območja vzdolž vozišča ceste, predpisanega za postavitev prometne signalizacije in prometne opreme.</w:t>
      </w:r>
    </w:p>
    <w:p w14:paraId="19FA9528" w14:textId="77777777" w:rsidR="007F3229" w:rsidRPr="007F3229" w:rsidRDefault="007F3229" w:rsidP="007F3229">
      <w:pPr>
        <w:jc w:val="both"/>
      </w:pPr>
      <w:r w:rsidRPr="007F3229">
        <w:t>(5) Postavljanje in uporaba elektronskih prikazovalnikov v območju državne ceste je prepovedano. Svetlobne vitrine z neto oglasno površino do vključno 2,1 m2, če gre za enostransko oglaševanje, ali 4,2 m2, če gre za obojestransko oglaševanje, in osvetljene z notranje strani v skladu z zakonom, ki ureja varstvo okolja, se lahko ob državnih cestah v naselju postavljajo in uporabljajo zunaj vozišča državne ceste.</w:t>
      </w:r>
    </w:p>
    <w:p w14:paraId="3D38E165" w14:textId="77777777" w:rsidR="007F3229" w:rsidRPr="007F3229" w:rsidRDefault="007F3229" w:rsidP="007F3229">
      <w:pPr>
        <w:jc w:val="both"/>
      </w:pPr>
      <w:r w:rsidRPr="007F3229">
        <w:t>(6) Soglasje za postavitev objektov za oglaševanje iz tretjega, četrtega in petega odstavka tega člena v območju državne ceste izda upravljavec državne ceste na podlagi načrta za postavitev objekta za oglaševanje, če je oglaševanje v tem območju dovoljeno s prostorskim aktom občine.</w:t>
      </w:r>
    </w:p>
    <w:p w14:paraId="4A2BAC91" w14:textId="77777777" w:rsidR="007F3229" w:rsidRPr="007F3229" w:rsidRDefault="007F3229" w:rsidP="007F3229">
      <w:pPr>
        <w:jc w:val="both"/>
      </w:pPr>
      <w:r w:rsidRPr="007F3229">
        <w:t>(7) Z globo 2.000 eurov se kaznuje za prekršek posameznik, ki ravna v nasprotju z drugim, tretjim, četrtim ali petim odstavkom tega člena ali brez soglasja postavi oziroma uporablja objekt za oglaševanje v območju državne ceste ali ga postavi oziroma uporablja v nasprotju s pogoji iz soglasja.</w:t>
      </w:r>
    </w:p>
    <w:p w14:paraId="08881E75" w14:textId="77777777" w:rsidR="007F3229" w:rsidRPr="007F3229" w:rsidRDefault="007F3229" w:rsidP="007F3229">
      <w:pPr>
        <w:jc w:val="both"/>
      </w:pPr>
      <w:r w:rsidRPr="007F3229">
        <w:t>(8) Z globo 500 eurov se kaznuje za prekršek posameznik, ki stori prekršek iz prejšnjega odstavka in je površina oglasnega sporočila manjša od 5 kvadratnih metrov.</w:t>
      </w:r>
    </w:p>
    <w:p w14:paraId="69051191" w14:textId="77777777" w:rsidR="007F3229" w:rsidRPr="007F3229" w:rsidRDefault="007F3229" w:rsidP="007F3229">
      <w:pPr>
        <w:jc w:val="both"/>
      </w:pPr>
      <w:r w:rsidRPr="007F3229">
        <w:t>(9) Z globo 8.000 eurov se kaznuje za prekršek pravna oseba, samostojni podjetnik posameznik in posameznik, ki samostojno opravlja dejavnost, ki stori prekršek iz sedmega odstavka tega člena, njihova odgovorna oseba pa z globo 2.000 eurov.</w:t>
      </w:r>
    </w:p>
    <w:p w14:paraId="6986FF9D" w14:textId="027FE82F" w:rsidR="007F3229" w:rsidRDefault="007F3229" w:rsidP="007F3229">
      <w:pPr>
        <w:jc w:val="both"/>
        <w:rPr>
          <w:b/>
          <w:bCs/>
        </w:rPr>
      </w:pPr>
      <w:r w:rsidRPr="007F3229">
        <w:t xml:space="preserve">(10) Z globo 2.000 eurov se kaznuje za prekršek pravna oseba, samostojni podjetnik posameznik in posameznik, ki samostojno opravlja dejavnost, ki stori prekršek iz sedmega odstavka tega člena in je </w:t>
      </w:r>
      <w:r w:rsidRPr="007F3229">
        <w:lastRenderedPageBreak/>
        <w:t>površina oglasnega sporočila manjša od 5 kvadratnih metrov, njihova odgovorna oseba pa z globo 500 eurov.</w:t>
      </w:r>
    </w:p>
    <w:p w14:paraId="2730B428" w14:textId="77777777" w:rsidR="007F3229" w:rsidRDefault="007F3229" w:rsidP="007F3229">
      <w:pPr>
        <w:jc w:val="both"/>
        <w:rPr>
          <w:b/>
          <w:bCs/>
        </w:rPr>
      </w:pPr>
    </w:p>
    <w:p w14:paraId="1188063F" w14:textId="4DEE718B" w:rsidR="007F3229" w:rsidRPr="007F3229" w:rsidRDefault="007F3229" w:rsidP="007F3229">
      <w:pPr>
        <w:jc w:val="both"/>
        <w:rPr>
          <w:b/>
          <w:bCs/>
        </w:rPr>
      </w:pPr>
      <w:r w:rsidRPr="007F3229">
        <w:rPr>
          <w:b/>
          <w:bCs/>
        </w:rPr>
        <w:t>Pogoji plakatiranja na podlagi Zakona o urejanju prostora (</w:t>
      </w:r>
      <w:r w:rsidRPr="007F3229">
        <w:rPr>
          <w:b/>
          <w:bCs/>
        </w:rPr>
        <w:t>Uradni list RS, št. 199/21, 18/23 – ZDU-1O, 78/23 – ZUNPEOVE, 95/23 – ZIUOPZP, 23/24 in 109/24</w:t>
      </w:r>
      <w:r w:rsidRPr="007F3229">
        <w:rPr>
          <w:b/>
          <w:bCs/>
        </w:rPr>
        <w:t>):</w:t>
      </w:r>
    </w:p>
    <w:p w14:paraId="5FB35938" w14:textId="77777777" w:rsidR="007F3229" w:rsidRPr="007F3229" w:rsidRDefault="007F3229" w:rsidP="007F3229">
      <w:pPr>
        <w:jc w:val="center"/>
        <w:rPr>
          <w:b/>
          <w:bCs/>
        </w:rPr>
      </w:pPr>
      <w:r w:rsidRPr="007F3229">
        <w:rPr>
          <w:b/>
          <w:bCs/>
        </w:rPr>
        <w:t>35. člen</w:t>
      </w:r>
    </w:p>
    <w:p w14:paraId="7E7299C6" w14:textId="77777777" w:rsidR="007F3229" w:rsidRPr="007F3229" w:rsidRDefault="007F3229" w:rsidP="007F3229">
      <w:pPr>
        <w:jc w:val="center"/>
        <w:rPr>
          <w:b/>
          <w:bCs/>
        </w:rPr>
      </w:pPr>
      <w:r w:rsidRPr="007F3229">
        <w:rPr>
          <w:b/>
          <w:bCs/>
        </w:rPr>
        <w:t>(omejitve pri oglaševanju zunaj poselitvenih območij)</w:t>
      </w:r>
    </w:p>
    <w:p w14:paraId="4F86B078" w14:textId="57B9364E" w:rsidR="007F3229" w:rsidRDefault="007F3229" w:rsidP="007F3229">
      <w:pPr>
        <w:jc w:val="both"/>
      </w:pPr>
      <w:r>
        <w:t>V območjih, ki so po namenski rabi prostora kmetijska, gozdna, vodna in druga zemljišča, in niso v poselitvenih območjih, je ne glede na prostorske izvedbene akte prepovedano postavljanje trajnih ali začasnih objektov, naprav ali predmetov za oglaševanje.</w:t>
      </w:r>
    </w:p>
    <w:p w14:paraId="7765251A" w14:textId="7E4D3D52" w:rsidR="007F3229" w:rsidRDefault="007F3229" w:rsidP="007F3229">
      <w:pPr>
        <w:jc w:val="both"/>
      </w:pPr>
    </w:p>
    <w:p w14:paraId="13942D87" w14:textId="77777777" w:rsidR="007F3229" w:rsidRPr="007F3229" w:rsidRDefault="007F3229" w:rsidP="007F3229">
      <w:pPr>
        <w:jc w:val="center"/>
        <w:rPr>
          <w:b/>
          <w:bCs/>
        </w:rPr>
      </w:pPr>
      <w:r w:rsidRPr="007F3229">
        <w:rPr>
          <w:b/>
          <w:bCs/>
        </w:rPr>
        <w:t>287. člen</w:t>
      </w:r>
    </w:p>
    <w:p w14:paraId="36A34353" w14:textId="77777777" w:rsidR="007F3229" w:rsidRPr="007F3229" w:rsidRDefault="007F3229" w:rsidP="007F3229">
      <w:pPr>
        <w:jc w:val="center"/>
        <w:rPr>
          <w:b/>
          <w:bCs/>
        </w:rPr>
      </w:pPr>
      <w:r w:rsidRPr="007F3229">
        <w:rPr>
          <w:b/>
          <w:bCs/>
        </w:rPr>
        <w:t>(prekrški v zvezi z oglaševanjem zunaj poselitvenih območij)</w:t>
      </w:r>
    </w:p>
    <w:p w14:paraId="305A923B" w14:textId="77777777" w:rsidR="007F3229" w:rsidRDefault="007F3229" w:rsidP="007F3229">
      <w:pPr>
        <w:jc w:val="both"/>
      </w:pPr>
      <w:r>
        <w:t>(1) Z globo od 3.000 do 15.000 eurov se za prekršek kaznuje pravna oseba, če gre za pravno osebo, ki v skladu s predpisi, ki urejajo gospodarske družbe, šteje za srednjo ali veliko gospodarsko družbo, pa z globo od 6.000 do 30.000 eurov, če postavi trajni ali začasni objekt, napravo ali predmet za oglaševanje v nasprotju s 35. členom tega zakona.</w:t>
      </w:r>
    </w:p>
    <w:p w14:paraId="1DA8BB6D" w14:textId="77777777" w:rsidR="007F3229" w:rsidRDefault="007F3229" w:rsidP="007F3229">
      <w:pPr>
        <w:jc w:val="both"/>
      </w:pPr>
      <w:r>
        <w:t>(2) Z globo od 3.000 do 15.000 eurov se za prekršek iz prejšnjega odstavka kaznuje samostojni podjetnik posameznik ali posameznik, ki samostojno opravlja dejavnost.</w:t>
      </w:r>
    </w:p>
    <w:p w14:paraId="6D2AFDD7" w14:textId="77777777" w:rsidR="007F3229" w:rsidRDefault="007F3229" w:rsidP="007F3229">
      <w:pPr>
        <w:jc w:val="both"/>
      </w:pPr>
      <w:r>
        <w:t>(3) Z globo od 1.000 do 3.500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p>
    <w:p w14:paraId="74365BC3" w14:textId="5052555D" w:rsidR="007F3229" w:rsidRDefault="007F3229" w:rsidP="007F3229">
      <w:pPr>
        <w:jc w:val="both"/>
      </w:pPr>
      <w:r>
        <w:t>(4) Z globo od 1.000 do 3.000 eurov se za prekršek iz prvega odstavka tega člena kaznuje posameznik.</w:t>
      </w:r>
    </w:p>
    <w:p w14:paraId="01A1A9F4" w14:textId="3201AEF6" w:rsidR="00BF3649" w:rsidRDefault="00BF3649" w:rsidP="007F3229">
      <w:pPr>
        <w:jc w:val="both"/>
      </w:pPr>
    </w:p>
    <w:p w14:paraId="05A1EB7D" w14:textId="2FD3CA67" w:rsidR="00BF3649" w:rsidRDefault="00BF3649" w:rsidP="007F3229">
      <w:pPr>
        <w:jc w:val="both"/>
      </w:pPr>
    </w:p>
    <w:p w14:paraId="6B08A526" w14:textId="45B48F30" w:rsidR="00BF3649" w:rsidRDefault="00BF3649" w:rsidP="007F3229">
      <w:pPr>
        <w:jc w:val="both"/>
      </w:pPr>
    </w:p>
    <w:p w14:paraId="3AE607B8" w14:textId="4AACE29C" w:rsidR="00BF3649" w:rsidRDefault="00BF3649" w:rsidP="007F3229">
      <w:pPr>
        <w:jc w:val="both"/>
      </w:pPr>
      <w:r>
        <w:t>Datum: ……………………………</w:t>
      </w:r>
      <w:r>
        <w:tab/>
      </w:r>
      <w:r>
        <w:tab/>
      </w:r>
      <w:r>
        <w:tab/>
      </w:r>
      <w:r>
        <w:tab/>
      </w:r>
      <w:r>
        <w:tab/>
        <w:t>………………………………………………………….</w:t>
      </w:r>
    </w:p>
    <w:p w14:paraId="657E45AC" w14:textId="4FDF8FB6" w:rsidR="00BF3649" w:rsidRPr="007F3229" w:rsidRDefault="00BF3649" w:rsidP="007F3229">
      <w:pPr>
        <w:jc w:val="both"/>
      </w:pPr>
      <w:r>
        <w:tab/>
      </w:r>
      <w:r>
        <w:tab/>
      </w:r>
      <w:r>
        <w:tab/>
      </w:r>
      <w:r>
        <w:tab/>
      </w:r>
      <w:r>
        <w:tab/>
      </w:r>
      <w:r>
        <w:tab/>
      </w:r>
      <w:r>
        <w:tab/>
      </w:r>
      <w:r>
        <w:tab/>
      </w:r>
      <w:r>
        <w:tab/>
        <w:t>podpis vlagatelja</w:t>
      </w:r>
    </w:p>
    <w:sectPr w:rsidR="00BF3649" w:rsidRPr="007F3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5A4"/>
    <w:multiLevelType w:val="hybridMultilevel"/>
    <w:tmpl w:val="877AC12A"/>
    <w:lvl w:ilvl="0" w:tplc="2962DA4C">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E409B3"/>
    <w:multiLevelType w:val="hybridMultilevel"/>
    <w:tmpl w:val="6D9A0F3A"/>
    <w:lvl w:ilvl="0" w:tplc="2962DA4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43183999"/>
    <w:multiLevelType w:val="hybridMultilevel"/>
    <w:tmpl w:val="9F1EADA8"/>
    <w:lvl w:ilvl="0" w:tplc="2962DA4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5A1E0055"/>
    <w:multiLevelType w:val="hybridMultilevel"/>
    <w:tmpl w:val="B8508D9C"/>
    <w:lvl w:ilvl="0" w:tplc="2962DA4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7FF9596A"/>
    <w:multiLevelType w:val="hybridMultilevel"/>
    <w:tmpl w:val="0EF08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1A"/>
    <w:rsid w:val="007F3229"/>
    <w:rsid w:val="008B2A14"/>
    <w:rsid w:val="008C4B1A"/>
    <w:rsid w:val="00BF3649"/>
    <w:rsid w:val="00EE3D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C2BA"/>
  <w15:chartTrackingRefBased/>
  <w15:docId w15:val="{B12680CC-1C51-4641-8F59-4F776386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C4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1149</Words>
  <Characters>6550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Gril</dc:creator>
  <cp:keywords/>
  <dc:description/>
  <cp:lastModifiedBy>Maša Gril</cp:lastModifiedBy>
  <cp:revision>3</cp:revision>
  <dcterms:created xsi:type="dcterms:W3CDTF">2025-01-13T08:23:00Z</dcterms:created>
  <dcterms:modified xsi:type="dcterms:W3CDTF">2025-01-13T08:45:00Z</dcterms:modified>
</cp:coreProperties>
</file>