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7BDA" w:rsidRDefault="00347BDA" w:rsidP="008922A2">
      <w:pPr>
        <w:rPr>
          <w:rFonts w:ascii="Times New Roman" w:hAnsi="Times New Roman" w:cs="Times New Roman"/>
          <w:b/>
          <w:sz w:val="32"/>
          <w:szCs w:val="32"/>
        </w:rPr>
      </w:pPr>
    </w:p>
    <w:p w:rsidR="001D6B85" w:rsidRPr="001D6B85" w:rsidRDefault="001D6B85" w:rsidP="008922A2">
      <w:pPr>
        <w:rPr>
          <w:rFonts w:ascii="Times New Roman" w:hAnsi="Times New Roman" w:cs="Times New Roman"/>
          <w:b/>
          <w:sz w:val="32"/>
          <w:szCs w:val="32"/>
        </w:rPr>
      </w:pPr>
      <w:r w:rsidRPr="001D6B85">
        <w:rPr>
          <w:rFonts w:ascii="Times New Roman" w:hAnsi="Times New Roman" w:cs="Times New Roman"/>
          <w:b/>
          <w:sz w:val="32"/>
          <w:szCs w:val="32"/>
        </w:rPr>
        <w:t>Komunalna infrastruktura za OPPN ŠM_40«</w:t>
      </w:r>
    </w:p>
    <w:p w:rsidR="000836E5" w:rsidRDefault="000836E5" w:rsidP="008922A2">
      <w:pPr>
        <w:rPr>
          <w:rFonts w:ascii="Times New Roman" w:hAnsi="Times New Roman" w:cs="Times New Roman"/>
          <w:sz w:val="24"/>
          <w:szCs w:val="24"/>
        </w:rPr>
      </w:pPr>
      <w:r w:rsidRPr="007A5B94">
        <w:rPr>
          <w:rFonts w:ascii="Times New Roman" w:hAnsi="Times New Roman" w:cs="Times New Roman"/>
          <w:b/>
          <w:sz w:val="24"/>
          <w:szCs w:val="24"/>
        </w:rPr>
        <w:t>Viri sofinanciranja</w:t>
      </w:r>
      <w:r>
        <w:rPr>
          <w:rFonts w:ascii="Times New Roman" w:hAnsi="Times New Roman" w:cs="Times New Roman"/>
          <w:sz w:val="24"/>
          <w:szCs w:val="24"/>
        </w:rPr>
        <w:t>: Evropski sklad za regionalni razvoj</w:t>
      </w:r>
    </w:p>
    <w:p w:rsidR="000836E5" w:rsidRDefault="000836E5" w:rsidP="008922A2">
      <w:pPr>
        <w:rPr>
          <w:rFonts w:ascii="Times New Roman" w:hAnsi="Times New Roman" w:cs="Times New Roman"/>
          <w:sz w:val="24"/>
          <w:szCs w:val="24"/>
        </w:rPr>
      </w:pPr>
      <w:r w:rsidRPr="007A5B94">
        <w:rPr>
          <w:rFonts w:ascii="Times New Roman" w:hAnsi="Times New Roman" w:cs="Times New Roman"/>
          <w:b/>
          <w:sz w:val="24"/>
          <w:szCs w:val="24"/>
        </w:rPr>
        <w:t>Vrednost projekta</w:t>
      </w:r>
      <w:r>
        <w:rPr>
          <w:rFonts w:ascii="Times New Roman" w:hAnsi="Times New Roman" w:cs="Times New Roman"/>
          <w:sz w:val="24"/>
          <w:szCs w:val="24"/>
        </w:rPr>
        <w:t xml:space="preserve">: </w:t>
      </w:r>
      <w:r w:rsidR="009D45A7">
        <w:rPr>
          <w:rFonts w:ascii="Times New Roman" w:hAnsi="Times New Roman" w:cs="Times New Roman"/>
          <w:sz w:val="24"/>
          <w:szCs w:val="24"/>
        </w:rPr>
        <w:t>465.657</w:t>
      </w:r>
      <w:r w:rsidR="001D6B85">
        <w:rPr>
          <w:rFonts w:ascii="Times New Roman" w:hAnsi="Times New Roman" w:cs="Times New Roman"/>
          <w:sz w:val="24"/>
          <w:szCs w:val="24"/>
        </w:rPr>
        <w:t>,00</w:t>
      </w:r>
      <w:r>
        <w:rPr>
          <w:rFonts w:ascii="Times New Roman" w:hAnsi="Times New Roman" w:cs="Times New Roman"/>
          <w:sz w:val="24"/>
          <w:szCs w:val="24"/>
        </w:rPr>
        <w:t xml:space="preserve"> EUR</w:t>
      </w:r>
      <w:r w:rsidR="00DC299A">
        <w:rPr>
          <w:rFonts w:ascii="Times New Roman" w:hAnsi="Times New Roman" w:cs="Times New Roman"/>
          <w:sz w:val="24"/>
          <w:szCs w:val="24"/>
        </w:rPr>
        <w:t xml:space="preserve"> z DDV</w:t>
      </w:r>
    </w:p>
    <w:p w:rsidR="000836E5" w:rsidRDefault="000836E5" w:rsidP="008922A2">
      <w:pPr>
        <w:rPr>
          <w:rFonts w:ascii="Times New Roman" w:hAnsi="Times New Roman" w:cs="Times New Roman"/>
          <w:sz w:val="24"/>
          <w:szCs w:val="24"/>
        </w:rPr>
      </w:pPr>
      <w:r w:rsidRPr="007A5B94">
        <w:rPr>
          <w:rFonts w:ascii="Times New Roman" w:hAnsi="Times New Roman" w:cs="Times New Roman"/>
          <w:b/>
          <w:sz w:val="24"/>
          <w:szCs w:val="24"/>
        </w:rPr>
        <w:t>Višina sofinanciranja</w:t>
      </w:r>
      <w:r>
        <w:rPr>
          <w:rFonts w:ascii="Times New Roman" w:hAnsi="Times New Roman" w:cs="Times New Roman"/>
          <w:sz w:val="24"/>
          <w:szCs w:val="24"/>
        </w:rPr>
        <w:t xml:space="preserve">: </w:t>
      </w:r>
      <w:r w:rsidR="001D6B85">
        <w:rPr>
          <w:rFonts w:ascii="Times New Roman" w:hAnsi="Times New Roman" w:cs="Times New Roman"/>
          <w:sz w:val="24"/>
          <w:szCs w:val="24"/>
        </w:rPr>
        <w:t>276.345,00</w:t>
      </w:r>
      <w:r w:rsidR="0050555E">
        <w:rPr>
          <w:rFonts w:ascii="Times New Roman" w:hAnsi="Times New Roman" w:cs="Times New Roman"/>
          <w:sz w:val="24"/>
          <w:szCs w:val="24"/>
        </w:rPr>
        <w:t xml:space="preserve"> EUR</w:t>
      </w:r>
    </w:p>
    <w:p w:rsidR="0050555E" w:rsidRDefault="0050555E" w:rsidP="008922A2">
      <w:pPr>
        <w:rPr>
          <w:rFonts w:ascii="Times New Roman" w:hAnsi="Times New Roman" w:cs="Times New Roman"/>
          <w:sz w:val="24"/>
          <w:szCs w:val="24"/>
        </w:rPr>
      </w:pPr>
      <w:r w:rsidRPr="007A5B94">
        <w:rPr>
          <w:rFonts w:ascii="Times New Roman" w:hAnsi="Times New Roman" w:cs="Times New Roman"/>
          <w:b/>
          <w:sz w:val="24"/>
          <w:szCs w:val="24"/>
        </w:rPr>
        <w:t>Status – faza</w:t>
      </w:r>
      <w:r>
        <w:rPr>
          <w:rFonts w:ascii="Times New Roman" w:hAnsi="Times New Roman" w:cs="Times New Roman"/>
          <w:sz w:val="24"/>
          <w:szCs w:val="24"/>
        </w:rPr>
        <w:t>:  V teku</w:t>
      </w:r>
    </w:p>
    <w:p w:rsidR="0050555E" w:rsidRDefault="0050555E" w:rsidP="008922A2">
      <w:pPr>
        <w:rPr>
          <w:rFonts w:ascii="Times New Roman" w:hAnsi="Times New Roman" w:cs="Times New Roman"/>
          <w:sz w:val="24"/>
          <w:szCs w:val="24"/>
        </w:rPr>
      </w:pPr>
      <w:r w:rsidRPr="007A5B94">
        <w:rPr>
          <w:rFonts w:ascii="Times New Roman" w:hAnsi="Times New Roman" w:cs="Times New Roman"/>
          <w:b/>
          <w:sz w:val="24"/>
          <w:szCs w:val="24"/>
        </w:rPr>
        <w:t>Začetek</w:t>
      </w:r>
      <w:r>
        <w:rPr>
          <w:rFonts w:ascii="Times New Roman" w:hAnsi="Times New Roman" w:cs="Times New Roman"/>
          <w:sz w:val="24"/>
          <w:szCs w:val="24"/>
        </w:rPr>
        <w:t xml:space="preserve">: </w:t>
      </w:r>
      <w:r w:rsidR="00F14B6D">
        <w:rPr>
          <w:rFonts w:ascii="Times New Roman" w:hAnsi="Times New Roman" w:cs="Times New Roman"/>
          <w:sz w:val="24"/>
          <w:szCs w:val="24"/>
        </w:rPr>
        <w:t>jesen 2017 (predhodna dela), maj 2020 (gradbena dela)</w:t>
      </w:r>
    </w:p>
    <w:p w:rsidR="00832ED6" w:rsidRDefault="00832ED6" w:rsidP="008922A2">
      <w:pPr>
        <w:rPr>
          <w:rFonts w:ascii="Times New Roman" w:hAnsi="Times New Roman" w:cs="Times New Roman"/>
          <w:sz w:val="24"/>
          <w:szCs w:val="24"/>
        </w:rPr>
      </w:pPr>
      <w:r w:rsidRPr="007A5B94">
        <w:rPr>
          <w:rFonts w:ascii="Times New Roman" w:hAnsi="Times New Roman" w:cs="Times New Roman"/>
          <w:b/>
          <w:sz w:val="24"/>
          <w:szCs w:val="24"/>
        </w:rPr>
        <w:t>Predviden zaključek</w:t>
      </w:r>
      <w:r>
        <w:rPr>
          <w:rFonts w:ascii="Times New Roman" w:hAnsi="Times New Roman" w:cs="Times New Roman"/>
          <w:sz w:val="24"/>
          <w:szCs w:val="24"/>
        </w:rPr>
        <w:t xml:space="preserve">: </w:t>
      </w:r>
      <w:r w:rsidR="00F14B6D">
        <w:rPr>
          <w:rFonts w:ascii="Times New Roman" w:hAnsi="Times New Roman" w:cs="Times New Roman"/>
          <w:sz w:val="24"/>
          <w:szCs w:val="24"/>
        </w:rPr>
        <w:t xml:space="preserve">september </w:t>
      </w:r>
      <w:r>
        <w:rPr>
          <w:rFonts w:ascii="Times New Roman" w:hAnsi="Times New Roman" w:cs="Times New Roman"/>
          <w:sz w:val="24"/>
          <w:szCs w:val="24"/>
        </w:rPr>
        <w:t>2020</w:t>
      </w:r>
    </w:p>
    <w:p w:rsidR="00F14B6D" w:rsidRPr="00F14B6D" w:rsidRDefault="00853A95" w:rsidP="00F14B6D">
      <w:pPr>
        <w:rPr>
          <w:rFonts w:ascii="Times New Roman" w:hAnsi="Times New Roman" w:cs="Times New Roman"/>
          <w:sz w:val="24"/>
          <w:szCs w:val="24"/>
        </w:rPr>
      </w:pPr>
      <w:r w:rsidRPr="007A5B94">
        <w:rPr>
          <w:rFonts w:ascii="Times New Roman" w:hAnsi="Times New Roman" w:cs="Times New Roman"/>
          <w:b/>
          <w:sz w:val="24"/>
          <w:szCs w:val="24"/>
        </w:rPr>
        <w:t>Lokacija</w:t>
      </w:r>
      <w:r>
        <w:rPr>
          <w:rFonts w:ascii="Times New Roman" w:hAnsi="Times New Roman" w:cs="Times New Roman"/>
          <w:sz w:val="24"/>
          <w:szCs w:val="24"/>
        </w:rPr>
        <w:t xml:space="preserve">: </w:t>
      </w:r>
      <w:r w:rsidR="00F14B6D" w:rsidRPr="00F14B6D">
        <w:rPr>
          <w:rFonts w:ascii="Times New Roman" w:hAnsi="Times New Roman" w:cs="Times New Roman"/>
          <w:sz w:val="24"/>
          <w:szCs w:val="24"/>
        </w:rPr>
        <w:t xml:space="preserve">Ureditveno območje OPPN zajema enoto urejanja ŠM_40. Obravnavan je samo južni del območja, in sicer nepremičnine s parcelnimi številkami: </w:t>
      </w:r>
    </w:p>
    <w:p w:rsidR="00F14B6D" w:rsidRPr="00F14B6D" w:rsidRDefault="00F14B6D" w:rsidP="00F14B6D">
      <w:pPr>
        <w:rPr>
          <w:rFonts w:ascii="Times New Roman" w:hAnsi="Times New Roman" w:cs="Times New Roman"/>
          <w:sz w:val="24"/>
          <w:szCs w:val="24"/>
        </w:rPr>
      </w:pPr>
      <w:r w:rsidRPr="00F14B6D">
        <w:rPr>
          <w:rFonts w:ascii="Times New Roman" w:hAnsi="Times New Roman" w:cs="Times New Roman"/>
          <w:sz w:val="24"/>
          <w:szCs w:val="24"/>
        </w:rPr>
        <w:t xml:space="preserve">1058/3, 102/4, 102/7, 102/47, 102/69, 102/103, 102/104, 102/106, 102/108, 102/109, 102/113, 102/115, 102/152, 102/166, 102/167, 102/168, 102/169, 102/170, 102/171, 102/172, 102/177, 102/3, 102/18, 102/31, 102/33, 102/42, 102/43, 102/44, 102/49, 102/52, 102/55, 102/57, 102/58, 102/59, 102/60, 102/62, 102/66, 102/72, 102/73, 102/74, 102/76, 102/78, 102/79, 102/82, 102/83, 102/84, 102/85, 102/86, 102/87, 102/88, 102/90, 102/91, 102/92, 102/93, 102/94, 102/96, 102/97, 102/98, 102/99, 102/100, 102/101, 102/102, 102/107, 102/112, 102/114, 102/116, 102/117, 102/118, 102/119, 102/121, 102/123, 102/125, 102/127, 102/129, 102/131, 102/133, 102/135, 102/137, 102/141, 102/143, 102/145, 102/147, 102/149, 102/151, 102/153, 102/155, 102/156, 102/157, 102/159, 102/161, 102/163, 102/165, 102/173, 102/174, 102/175, 102/176, 102/178 vse </w:t>
      </w:r>
      <w:proofErr w:type="spellStart"/>
      <w:r w:rsidRPr="00F14B6D">
        <w:rPr>
          <w:rFonts w:ascii="Times New Roman" w:hAnsi="Times New Roman" w:cs="Times New Roman"/>
          <w:sz w:val="24"/>
          <w:szCs w:val="24"/>
        </w:rPr>
        <w:t>k.o</w:t>
      </w:r>
      <w:proofErr w:type="spellEnd"/>
      <w:r w:rsidRPr="00F14B6D">
        <w:rPr>
          <w:rFonts w:ascii="Times New Roman" w:hAnsi="Times New Roman" w:cs="Times New Roman"/>
          <w:sz w:val="24"/>
          <w:szCs w:val="24"/>
        </w:rPr>
        <w:t xml:space="preserve">. Šmartno (šifra </w:t>
      </w:r>
      <w:proofErr w:type="spellStart"/>
      <w:r w:rsidRPr="00F14B6D">
        <w:rPr>
          <w:rFonts w:ascii="Times New Roman" w:hAnsi="Times New Roman" w:cs="Times New Roman"/>
          <w:sz w:val="24"/>
          <w:szCs w:val="24"/>
        </w:rPr>
        <w:t>k.o</w:t>
      </w:r>
      <w:proofErr w:type="spellEnd"/>
      <w:r w:rsidRPr="00F14B6D">
        <w:rPr>
          <w:rFonts w:ascii="Times New Roman" w:hAnsi="Times New Roman" w:cs="Times New Roman"/>
          <w:sz w:val="24"/>
          <w:szCs w:val="24"/>
        </w:rPr>
        <w:t>. 1847)</w:t>
      </w:r>
    </w:p>
    <w:p w:rsidR="00F14B6D" w:rsidRPr="00F14B6D" w:rsidRDefault="00F14B6D" w:rsidP="00F14B6D">
      <w:pPr>
        <w:rPr>
          <w:rFonts w:ascii="Times New Roman" w:hAnsi="Times New Roman" w:cs="Times New Roman"/>
          <w:sz w:val="24"/>
          <w:szCs w:val="24"/>
        </w:rPr>
      </w:pPr>
    </w:p>
    <w:p w:rsidR="00F14B6D" w:rsidRDefault="00F14B6D" w:rsidP="00F14B6D">
      <w:pPr>
        <w:rPr>
          <w:rFonts w:ascii="Times New Roman" w:hAnsi="Times New Roman" w:cs="Times New Roman"/>
          <w:sz w:val="24"/>
          <w:szCs w:val="24"/>
        </w:rPr>
      </w:pPr>
      <w:r w:rsidRPr="00F14B6D">
        <w:rPr>
          <w:rFonts w:ascii="Times New Roman" w:hAnsi="Times New Roman" w:cs="Times New Roman"/>
          <w:sz w:val="24"/>
          <w:szCs w:val="24"/>
        </w:rPr>
        <w:t>Površina ureditvenega območja južnega dela OPPN znaša 3,13 ha.</w:t>
      </w:r>
    </w:p>
    <w:p w:rsidR="0096553F" w:rsidRDefault="0096553F" w:rsidP="00F14B6D">
      <w:pPr>
        <w:rPr>
          <w:rFonts w:ascii="Times New Roman" w:hAnsi="Times New Roman" w:cs="Times New Roman"/>
          <w:sz w:val="24"/>
          <w:szCs w:val="24"/>
        </w:rPr>
      </w:pPr>
      <w:r w:rsidRPr="007A5B94">
        <w:rPr>
          <w:rFonts w:ascii="Times New Roman" w:hAnsi="Times New Roman" w:cs="Times New Roman"/>
          <w:b/>
          <w:sz w:val="24"/>
          <w:szCs w:val="24"/>
        </w:rPr>
        <w:t>Nosilec</w:t>
      </w:r>
      <w:r>
        <w:rPr>
          <w:rFonts w:ascii="Times New Roman" w:hAnsi="Times New Roman" w:cs="Times New Roman"/>
          <w:sz w:val="24"/>
          <w:szCs w:val="24"/>
        </w:rPr>
        <w:t>: Občina Šmartno pri Litiji</w:t>
      </w:r>
    </w:p>
    <w:p w:rsidR="00DC299A" w:rsidRDefault="00DC299A" w:rsidP="008922A2">
      <w:pPr>
        <w:rPr>
          <w:rFonts w:ascii="Times New Roman" w:hAnsi="Times New Roman" w:cs="Times New Roman"/>
          <w:b/>
          <w:sz w:val="24"/>
          <w:szCs w:val="24"/>
        </w:rPr>
      </w:pPr>
      <w:r w:rsidRPr="007A5B94">
        <w:rPr>
          <w:rFonts w:ascii="Times New Roman" w:hAnsi="Times New Roman" w:cs="Times New Roman"/>
          <w:b/>
          <w:sz w:val="24"/>
          <w:szCs w:val="24"/>
        </w:rPr>
        <w:t xml:space="preserve">Opis projekta: </w:t>
      </w:r>
    </w:p>
    <w:p w:rsidR="009D45A7" w:rsidRDefault="00F14B6D" w:rsidP="00F14B6D">
      <w:pPr>
        <w:rPr>
          <w:rFonts w:ascii="Times New Roman" w:hAnsi="Times New Roman" w:cs="Times New Roman"/>
          <w:bCs/>
          <w:sz w:val="24"/>
          <w:szCs w:val="24"/>
        </w:rPr>
        <w:sectPr w:rsidR="009D45A7">
          <w:headerReference w:type="default" r:id="rId8"/>
          <w:pgSz w:w="11906" w:h="16838"/>
          <w:pgMar w:top="1417" w:right="1417" w:bottom="1417" w:left="1417" w:header="708" w:footer="708" w:gutter="0"/>
          <w:cols w:space="708"/>
          <w:docGrid w:linePitch="360"/>
        </w:sectPr>
      </w:pPr>
      <w:r w:rsidRPr="00F14B6D">
        <w:rPr>
          <w:rFonts w:ascii="Times New Roman" w:hAnsi="Times New Roman" w:cs="Times New Roman"/>
          <w:bCs/>
          <w:sz w:val="24"/>
          <w:szCs w:val="24"/>
        </w:rPr>
        <w:t xml:space="preserve">Lokacija predvidenega ukrepa je območje OPPN ŠM_40,nekoč v lasti podjetja Industrija usnja Vrhnika (IUV). To je v naravi opuščeno degradirano območje. Po stečaju IUV je kompleks odkupilo zasebno podjetje. Del uporabnih starejših objektov je odprodalo lokalnim podjetjem, zaradi pomanjkljive infrastrukture predmetne lokacije pa  ni bilo nadaljnjega interesa podjetnikov. V coni je zastarela vodovodna napeljava, </w:t>
      </w:r>
      <w:proofErr w:type="spellStart"/>
      <w:r w:rsidRPr="00F14B6D">
        <w:rPr>
          <w:rFonts w:ascii="Times New Roman" w:hAnsi="Times New Roman" w:cs="Times New Roman"/>
          <w:bCs/>
          <w:sz w:val="24"/>
          <w:szCs w:val="24"/>
        </w:rPr>
        <w:t>odvodnja</w:t>
      </w:r>
      <w:proofErr w:type="spellEnd"/>
      <w:r w:rsidRPr="00F14B6D">
        <w:rPr>
          <w:rFonts w:ascii="Times New Roman" w:hAnsi="Times New Roman" w:cs="Times New Roman"/>
          <w:bCs/>
          <w:sz w:val="24"/>
          <w:szCs w:val="24"/>
        </w:rPr>
        <w:t xml:space="preserve"> odpadnih meteornih in fekalnih voda ni urejena, vode s cestnih površin nekontrolirano odtekajo v potok, ki teče v neposredni bližini, ceste niso asfaltirane. Fekalne odpadne vode se iztekajo v greznice, podatki o ustreznosti greznic pa niso na razpolago. </w:t>
      </w:r>
    </w:p>
    <w:p w:rsidR="00F14B6D" w:rsidRPr="00F14B6D" w:rsidRDefault="00F14B6D" w:rsidP="00F14B6D">
      <w:pPr>
        <w:rPr>
          <w:rFonts w:ascii="Times New Roman" w:hAnsi="Times New Roman" w:cs="Times New Roman"/>
          <w:bCs/>
          <w:sz w:val="24"/>
          <w:szCs w:val="24"/>
        </w:rPr>
      </w:pPr>
    </w:p>
    <w:p w:rsidR="00F14B6D" w:rsidRPr="00F14B6D" w:rsidRDefault="00F14B6D" w:rsidP="00F14B6D">
      <w:pPr>
        <w:rPr>
          <w:rFonts w:ascii="Times New Roman" w:hAnsi="Times New Roman" w:cs="Times New Roman"/>
          <w:bCs/>
          <w:sz w:val="24"/>
          <w:szCs w:val="24"/>
        </w:rPr>
      </w:pPr>
      <w:r w:rsidRPr="00F14B6D">
        <w:rPr>
          <w:rFonts w:ascii="Times New Roman" w:hAnsi="Times New Roman" w:cs="Times New Roman"/>
          <w:bCs/>
          <w:sz w:val="24"/>
          <w:szCs w:val="24"/>
        </w:rPr>
        <w:tab/>
      </w:r>
    </w:p>
    <w:p w:rsidR="00F14B6D" w:rsidRPr="00F14B6D" w:rsidRDefault="00F14B6D" w:rsidP="00F14B6D">
      <w:pPr>
        <w:rPr>
          <w:rFonts w:ascii="Times New Roman" w:hAnsi="Times New Roman" w:cs="Times New Roman"/>
          <w:bCs/>
          <w:sz w:val="24"/>
          <w:szCs w:val="24"/>
        </w:rPr>
      </w:pPr>
      <w:r w:rsidRPr="00F14B6D">
        <w:rPr>
          <w:rFonts w:ascii="Times New Roman" w:hAnsi="Times New Roman" w:cs="Times New Roman"/>
          <w:bCs/>
          <w:sz w:val="24"/>
          <w:szCs w:val="24"/>
        </w:rPr>
        <w:tab/>
        <w:t>Z OPPN-jem je znotraj ureditvenega območja predvidena celostna prometna in komunalna ureditev. Novi komunalni vodi bodo priključeni na občinsko omrežje zunaj območja urejanja. Novogradnje poslovnih objektov niso načrtovane. Po izvedbi investicije bodo nezasedeni prostori v objektih prodani podjetjem, ki s pismi o nameri izkazujejo interes za vstop v cono.</w:t>
      </w:r>
    </w:p>
    <w:p w:rsidR="00F14B6D" w:rsidRDefault="007A5B94" w:rsidP="008922A2">
      <w:pPr>
        <w:rPr>
          <w:rFonts w:ascii="Times New Roman" w:hAnsi="Times New Roman" w:cs="Times New Roman"/>
          <w:b/>
          <w:sz w:val="24"/>
          <w:szCs w:val="24"/>
        </w:rPr>
      </w:pPr>
      <w:r w:rsidRPr="007A5B94">
        <w:rPr>
          <w:rFonts w:ascii="Times New Roman" w:hAnsi="Times New Roman" w:cs="Times New Roman"/>
          <w:b/>
          <w:sz w:val="24"/>
          <w:szCs w:val="24"/>
        </w:rPr>
        <w:t>Cilji projekta:</w:t>
      </w:r>
    </w:p>
    <w:p w:rsidR="00F14B6D" w:rsidRDefault="00F14B6D" w:rsidP="00F14B6D">
      <w:pPr>
        <w:pStyle w:val="Odstavekseznama"/>
        <w:numPr>
          <w:ilvl w:val="0"/>
          <w:numId w:val="4"/>
        </w:numPr>
        <w:spacing w:after="0" w:line="240" w:lineRule="auto"/>
        <w:jc w:val="both"/>
        <w:rPr>
          <w:i/>
          <w:sz w:val="24"/>
          <w:szCs w:val="24"/>
        </w:rPr>
      </w:pPr>
      <w:r>
        <w:rPr>
          <w:i/>
          <w:sz w:val="24"/>
          <w:szCs w:val="24"/>
        </w:rPr>
        <w:t>prispevati k hitrejšemu razvoju gospodarstva na regionalni in državni ravni,</w:t>
      </w:r>
    </w:p>
    <w:p w:rsidR="00F14B6D" w:rsidRDefault="00F14B6D" w:rsidP="00F14B6D">
      <w:pPr>
        <w:pStyle w:val="Odstavekseznama"/>
        <w:numPr>
          <w:ilvl w:val="0"/>
          <w:numId w:val="4"/>
        </w:numPr>
        <w:spacing w:after="0" w:line="240" w:lineRule="auto"/>
        <w:jc w:val="both"/>
        <w:rPr>
          <w:i/>
          <w:sz w:val="24"/>
          <w:szCs w:val="24"/>
        </w:rPr>
      </w:pPr>
      <w:r>
        <w:rPr>
          <w:i/>
          <w:sz w:val="24"/>
          <w:szCs w:val="24"/>
        </w:rPr>
        <w:t>povečanje dodane vrednosti MSP,</w:t>
      </w:r>
    </w:p>
    <w:p w:rsidR="00F14B6D" w:rsidRDefault="00F14B6D" w:rsidP="00F14B6D">
      <w:pPr>
        <w:pStyle w:val="Odstavekseznama"/>
        <w:numPr>
          <w:ilvl w:val="0"/>
          <w:numId w:val="4"/>
        </w:numPr>
        <w:spacing w:after="0" w:line="240" w:lineRule="auto"/>
        <w:jc w:val="both"/>
        <w:rPr>
          <w:i/>
          <w:sz w:val="24"/>
          <w:szCs w:val="24"/>
        </w:rPr>
      </w:pPr>
      <w:r w:rsidRPr="00F14B6D">
        <w:rPr>
          <w:i/>
          <w:sz w:val="24"/>
          <w:szCs w:val="24"/>
        </w:rPr>
        <w:t>rast zaposlovanja v podjetjih na območju investicije</w:t>
      </w:r>
      <w:r>
        <w:rPr>
          <w:i/>
          <w:sz w:val="24"/>
          <w:szCs w:val="24"/>
        </w:rPr>
        <w:t>,</w:t>
      </w:r>
    </w:p>
    <w:p w:rsidR="00F14B6D" w:rsidRDefault="00F14B6D" w:rsidP="00F14B6D">
      <w:pPr>
        <w:numPr>
          <w:ilvl w:val="0"/>
          <w:numId w:val="4"/>
        </w:numPr>
        <w:spacing w:after="0" w:line="240" w:lineRule="auto"/>
        <w:jc w:val="both"/>
        <w:rPr>
          <w:i/>
          <w:iCs/>
          <w:sz w:val="24"/>
          <w:szCs w:val="24"/>
        </w:rPr>
      </w:pPr>
      <w:r>
        <w:rPr>
          <w:i/>
          <w:iCs/>
          <w:sz w:val="24"/>
          <w:szCs w:val="24"/>
        </w:rPr>
        <w:t>dograditev infrastrukture za oskrbo s pitno vodo na območju EPC,</w:t>
      </w:r>
    </w:p>
    <w:p w:rsidR="00F14B6D" w:rsidRDefault="00F14B6D" w:rsidP="00F14B6D">
      <w:pPr>
        <w:pStyle w:val="Odstavekseznama"/>
        <w:numPr>
          <w:ilvl w:val="0"/>
          <w:numId w:val="4"/>
        </w:numPr>
        <w:spacing w:after="0" w:line="240" w:lineRule="auto"/>
        <w:jc w:val="both"/>
        <w:rPr>
          <w:i/>
          <w:sz w:val="24"/>
          <w:szCs w:val="24"/>
        </w:rPr>
      </w:pPr>
      <w:r>
        <w:rPr>
          <w:i/>
          <w:sz w:val="24"/>
          <w:szCs w:val="24"/>
        </w:rPr>
        <w:t>izgradnja sistema za odvajanje in čiščenje komunalne odpadne vode na območju EPC,</w:t>
      </w:r>
    </w:p>
    <w:p w:rsidR="00F14B6D" w:rsidRDefault="00F14B6D" w:rsidP="00F14B6D">
      <w:pPr>
        <w:pStyle w:val="Odstavekseznama"/>
        <w:numPr>
          <w:ilvl w:val="0"/>
          <w:numId w:val="4"/>
        </w:numPr>
        <w:spacing w:after="0" w:line="240" w:lineRule="auto"/>
        <w:jc w:val="both"/>
        <w:rPr>
          <w:i/>
          <w:sz w:val="24"/>
          <w:szCs w:val="24"/>
        </w:rPr>
      </w:pPr>
      <w:r>
        <w:rPr>
          <w:i/>
          <w:sz w:val="24"/>
          <w:szCs w:val="24"/>
        </w:rPr>
        <w:t xml:space="preserve">izgradnja ceste v coni z ločeno meteorno </w:t>
      </w:r>
      <w:proofErr w:type="spellStart"/>
      <w:r>
        <w:rPr>
          <w:i/>
          <w:sz w:val="24"/>
          <w:szCs w:val="24"/>
        </w:rPr>
        <w:t>odvodnjo</w:t>
      </w:r>
      <w:proofErr w:type="spellEnd"/>
      <w:r>
        <w:rPr>
          <w:i/>
          <w:sz w:val="24"/>
          <w:szCs w:val="24"/>
        </w:rPr>
        <w:t>.</w:t>
      </w:r>
    </w:p>
    <w:p w:rsidR="00F14B6D" w:rsidRPr="00F14B6D" w:rsidRDefault="00F14B6D" w:rsidP="00F14B6D">
      <w:pPr>
        <w:spacing w:after="0" w:line="240" w:lineRule="auto"/>
        <w:ind w:left="360"/>
        <w:jc w:val="both"/>
        <w:rPr>
          <w:i/>
          <w:sz w:val="24"/>
          <w:szCs w:val="24"/>
        </w:rPr>
      </w:pPr>
    </w:p>
    <w:p w:rsidR="007A5B94" w:rsidRDefault="007A5B94" w:rsidP="007A5B94">
      <w:pPr>
        <w:spacing w:after="0"/>
        <w:rPr>
          <w:rFonts w:ascii="Times New Roman" w:hAnsi="Times New Roman" w:cs="Times New Roman"/>
          <w:sz w:val="24"/>
          <w:szCs w:val="24"/>
        </w:rPr>
      </w:pPr>
    </w:p>
    <w:p w:rsidR="007A5B94" w:rsidRPr="007A5B94" w:rsidRDefault="007A5B94" w:rsidP="007A5B94">
      <w:pPr>
        <w:spacing w:after="0"/>
        <w:rPr>
          <w:rFonts w:ascii="Times New Roman" w:hAnsi="Times New Roman" w:cs="Times New Roman"/>
          <w:b/>
          <w:sz w:val="24"/>
          <w:szCs w:val="24"/>
        </w:rPr>
      </w:pPr>
      <w:r w:rsidRPr="007A5B94">
        <w:rPr>
          <w:rFonts w:ascii="Times New Roman" w:hAnsi="Times New Roman" w:cs="Times New Roman"/>
          <w:b/>
          <w:sz w:val="24"/>
          <w:szCs w:val="24"/>
        </w:rPr>
        <w:t>Aktivnosti:</w:t>
      </w:r>
    </w:p>
    <w:p w:rsidR="00F14B6D" w:rsidRPr="00686B09" w:rsidRDefault="00F14B6D" w:rsidP="00F14B6D">
      <w:pPr>
        <w:pStyle w:val="Glava"/>
        <w:numPr>
          <w:ilvl w:val="0"/>
          <w:numId w:val="6"/>
        </w:numPr>
        <w:jc w:val="both"/>
        <w:rPr>
          <w:i/>
          <w:color w:val="000000"/>
          <w:sz w:val="24"/>
          <w:szCs w:val="24"/>
        </w:rPr>
      </w:pPr>
      <w:r w:rsidRPr="00686B09">
        <w:rPr>
          <w:i/>
          <w:color w:val="000000"/>
          <w:sz w:val="24"/>
          <w:szCs w:val="24"/>
        </w:rPr>
        <w:t>ureditev prometnega omrežja in pločnikov,</w:t>
      </w:r>
    </w:p>
    <w:p w:rsidR="00F14B6D" w:rsidRPr="00686B09" w:rsidRDefault="00F14B6D" w:rsidP="00F14B6D">
      <w:pPr>
        <w:pStyle w:val="Glava"/>
        <w:numPr>
          <w:ilvl w:val="0"/>
          <w:numId w:val="6"/>
        </w:numPr>
        <w:jc w:val="both"/>
        <w:rPr>
          <w:i/>
          <w:color w:val="000000"/>
          <w:sz w:val="24"/>
          <w:szCs w:val="24"/>
        </w:rPr>
      </w:pPr>
      <w:r w:rsidRPr="00686B09">
        <w:rPr>
          <w:i/>
          <w:color w:val="000000"/>
          <w:sz w:val="24"/>
          <w:szCs w:val="24"/>
        </w:rPr>
        <w:t>izgradnja fekalne kanalizacije,</w:t>
      </w:r>
    </w:p>
    <w:p w:rsidR="00F14B6D" w:rsidRPr="00686B09" w:rsidRDefault="00F14B6D" w:rsidP="00F14B6D">
      <w:pPr>
        <w:pStyle w:val="Glava"/>
        <w:numPr>
          <w:ilvl w:val="0"/>
          <w:numId w:val="6"/>
        </w:numPr>
        <w:jc w:val="both"/>
        <w:rPr>
          <w:i/>
          <w:color w:val="000000"/>
          <w:sz w:val="24"/>
          <w:szCs w:val="24"/>
        </w:rPr>
      </w:pPr>
      <w:r w:rsidRPr="00686B09">
        <w:rPr>
          <w:i/>
          <w:color w:val="000000"/>
          <w:sz w:val="24"/>
          <w:szCs w:val="24"/>
        </w:rPr>
        <w:t>izgradnja meteorne kanalizacije,</w:t>
      </w:r>
    </w:p>
    <w:p w:rsidR="00F14B6D" w:rsidRDefault="00F14B6D" w:rsidP="00F14B6D">
      <w:pPr>
        <w:pStyle w:val="Glava"/>
        <w:numPr>
          <w:ilvl w:val="0"/>
          <w:numId w:val="6"/>
        </w:numPr>
        <w:jc w:val="both"/>
        <w:rPr>
          <w:i/>
          <w:color w:val="000000"/>
          <w:sz w:val="24"/>
          <w:szCs w:val="24"/>
        </w:rPr>
      </w:pPr>
      <w:r w:rsidRPr="00686B09">
        <w:rPr>
          <w:i/>
          <w:color w:val="000000"/>
          <w:sz w:val="24"/>
          <w:szCs w:val="24"/>
        </w:rPr>
        <w:t>izgradnja vodovodnega omrežja</w:t>
      </w:r>
      <w:r>
        <w:rPr>
          <w:i/>
          <w:color w:val="000000"/>
          <w:sz w:val="24"/>
          <w:szCs w:val="24"/>
        </w:rPr>
        <w:t>,</w:t>
      </w:r>
    </w:p>
    <w:p w:rsidR="00F14B6D" w:rsidRDefault="00F14B6D" w:rsidP="00F14B6D">
      <w:pPr>
        <w:pStyle w:val="Glava"/>
        <w:numPr>
          <w:ilvl w:val="0"/>
          <w:numId w:val="6"/>
        </w:numPr>
        <w:jc w:val="both"/>
        <w:rPr>
          <w:i/>
          <w:color w:val="000000"/>
          <w:sz w:val="24"/>
          <w:szCs w:val="24"/>
        </w:rPr>
      </w:pPr>
      <w:r>
        <w:rPr>
          <w:i/>
          <w:color w:val="000000"/>
          <w:sz w:val="24"/>
          <w:szCs w:val="24"/>
        </w:rPr>
        <w:t>ureditev javne razsvetljave.</w:t>
      </w:r>
    </w:p>
    <w:p w:rsidR="00F14B6D" w:rsidRPr="00F14B6D" w:rsidRDefault="00F14B6D" w:rsidP="00F14B6D">
      <w:pPr>
        <w:spacing w:after="0"/>
        <w:rPr>
          <w:rFonts w:ascii="Times New Roman" w:hAnsi="Times New Roman" w:cs="Times New Roman"/>
          <w:sz w:val="24"/>
          <w:szCs w:val="24"/>
        </w:rPr>
      </w:pPr>
    </w:p>
    <w:p w:rsidR="0028054A" w:rsidRPr="00F14B6D" w:rsidRDefault="0028054A" w:rsidP="0028054A">
      <w:pPr>
        <w:spacing w:after="0"/>
        <w:rPr>
          <w:rFonts w:ascii="Times New Roman" w:hAnsi="Times New Roman" w:cs="Times New Roman"/>
          <w:b/>
          <w:bCs/>
          <w:sz w:val="24"/>
          <w:szCs w:val="24"/>
        </w:rPr>
      </w:pPr>
      <w:r w:rsidRPr="00F14B6D">
        <w:rPr>
          <w:rFonts w:ascii="Times New Roman" w:hAnsi="Times New Roman" w:cs="Times New Roman"/>
          <w:b/>
          <w:bCs/>
          <w:sz w:val="24"/>
          <w:szCs w:val="24"/>
        </w:rPr>
        <w:t>Podatki o financiranju</w:t>
      </w:r>
    </w:p>
    <w:p w:rsidR="0028054A" w:rsidRPr="0028054A" w:rsidRDefault="0028054A" w:rsidP="0028054A">
      <w:pPr>
        <w:spacing w:after="0"/>
        <w:rPr>
          <w:rFonts w:ascii="Times New Roman" w:hAnsi="Times New Roman" w:cs="Times New Roman"/>
          <w:sz w:val="24"/>
          <w:szCs w:val="24"/>
        </w:rPr>
      </w:pPr>
    </w:p>
    <w:p w:rsidR="00F14B6D" w:rsidRDefault="00F14B6D" w:rsidP="00F14B6D">
      <w:pPr>
        <w:jc w:val="both"/>
        <w:rPr>
          <w:i/>
          <w:sz w:val="24"/>
          <w:szCs w:val="24"/>
        </w:rPr>
      </w:pPr>
      <w:r>
        <w:rPr>
          <w:i/>
          <w:sz w:val="24"/>
          <w:szCs w:val="24"/>
        </w:rPr>
        <w:t xml:space="preserve">Predvideno je financiranje iz lastnih virov Občine Šmartno pri Litiji v višini </w:t>
      </w:r>
      <w:r>
        <w:rPr>
          <w:rFonts w:ascii="Arial" w:hAnsi="Arial" w:cs="Arial"/>
          <w:b/>
          <w:sz w:val="18"/>
          <w:szCs w:val="18"/>
        </w:rPr>
        <w:t>125.256€</w:t>
      </w:r>
      <w:r>
        <w:rPr>
          <w:i/>
          <w:sz w:val="24"/>
          <w:szCs w:val="24"/>
        </w:rPr>
        <w:t xml:space="preserve">  ter iz nepovratnih sredstev pridobljenih na javnem razpisu MGRT, od tega iz namenskih sredstev EU (ESRR) v višini </w:t>
      </w:r>
      <w:r>
        <w:rPr>
          <w:rFonts w:ascii="Arial" w:hAnsi="Arial" w:cs="Arial"/>
          <w:b/>
          <w:sz w:val="18"/>
          <w:szCs w:val="18"/>
        </w:rPr>
        <w:t>193.442€</w:t>
      </w:r>
      <w:r>
        <w:rPr>
          <w:i/>
          <w:sz w:val="24"/>
          <w:szCs w:val="24"/>
        </w:rPr>
        <w:t xml:space="preserve"> ter iz namenskih sredstev države v višini </w:t>
      </w:r>
      <w:r>
        <w:rPr>
          <w:rFonts w:ascii="Arial" w:hAnsi="Arial" w:cs="Arial"/>
          <w:b/>
          <w:sz w:val="18"/>
          <w:szCs w:val="18"/>
        </w:rPr>
        <w:t>82.903€</w:t>
      </w:r>
      <w:r>
        <w:rPr>
          <w:i/>
          <w:sz w:val="24"/>
          <w:szCs w:val="24"/>
        </w:rPr>
        <w:t xml:space="preserve">.  </w:t>
      </w:r>
    </w:p>
    <w:p w:rsidR="0028054A" w:rsidRPr="0028054A" w:rsidRDefault="0028054A" w:rsidP="0028054A">
      <w:pPr>
        <w:spacing w:after="0"/>
        <w:rPr>
          <w:rFonts w:ascii="Times New Roman" w:hAnsi="Times New Roman" w:cs="Times New Roman"/>
          <w:sz w:val="24"/>
          <w:szCs w:val="24"/>
        </w:rPr>
      </w:pPr>
    </w:p>
    <w:sectPr w:rsidR="0028054A" w:rsidRPr="0028054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0C69" w:rsidRDefault="00150C69" w:rsidP="00347BDA">
      <w:pPr>
        <w:spacing w:after="0" w:line="240" w:lineRule="auto"/>
      </w:pPr>
      <w:r>
        <w:separator/>
      </w:r>
    </w:p>
  </w:endnote>
  <w:endnote w:type="continuationSeparator" w:id="0">
    <w:p w:rsidR="00150C69" w:rsidRDefault="00150C69" w:rsidP="0034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0C69" w:rsidRDefault="00150C69" w:rsidP="00347BDA">
      <w:pPr>
        <w:spacing w:after="0" w:line="240" w:lineRule="auto"/>
      </w:pPr>
      <w:r>
        <w:separator/>
      </w:r>
    </w:p>
  </w:footnote>
  <w:footnote w:type="continuationSeparator" w:id="0">
    <w:p w:rsidR="00150C69" w:rsidRDefault="00150C69" w:rsidP="00347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7BDA" w:rsidRDefault="00347BDA">
    <w:pPr>
      <w:pStyle w:val="Glava"/>
    </w:pPr>
    <w:r>
      <w:rPr>
        <w:noProof/>
      </w:rPr>
      <w:drawing>
        <wp:inline distT="0" distB="0" distL="0" distR="0" wp14:anchorId="1EE4E637" wp14:editId="4E6082FA">
          <wp:extent cx="2315845" cy="456480"/>
          <wp:effectExtent l="0" t="0" r="0" b="127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5845" cy="456480"/>
                  </a:xfrm>
                  <a:prstGeom prst="rect">
                    <a:avLst/>
                  </a:prstGeom>
                  <a:noFill/>
                  <a:ln>
                    <a:noFill/>
                  </a:ln>
                </pic:spPr>
              </pic:pic>
            </a:graphicData>
          </a:graphic>
        </wp:inline>
      </w:drawing>
    </w:r>
    <w:r>
      <w:rPr>
        <w:noProof/>
      </w:rPr>
      <w:drawing>
        <wp:inline distT="0" distB="0" distL="0" distR="0" wp14:anchorId="3EF34C2C" wp14:editId="16BE1372">
          <wp:extent cx="2184000" cy="720000"/>
          <wp:effectExtent l="0" t="0" r="6985" b="4445"/>
          <wp:docPr id="12" name="Picture 1" descr="http://www.eu-skladi.si/kohezija-do-2013/2014-2020/dokumenti/2014-2020/Logo_EKP_strukturni_in_investicijski_skladi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eu-skladi.si/kohezija-do-2013/2014-2020/dokumenti/2014-2020/Logo_EKP_strukturni_in_investicijski_skladi_SLO_slogan.jpg"/>
                  <pic:cNvPicPr>
                    <a:picLocks noChangeAspect="1" noChangeArrowheads="1"/>
                  </pic:cNvPicPr>
                </pic:nvPicPr>
                <pic:blipFill rotWithShape="1">
                  <a:blip r:embed="rId2"/>
                  <a:srcRect l="11895" t="21507" r="6919" b="23187"/>
                  <a:stretch/>
                </pic:blipFill>
                <pic:spPr bwMode="auto">
                  <a:xfrm>
                    <a:off x="0" y="0"/>
                    <a:ext cx="2184000" cy="720000"/>
                  </a:xfrm>
                  <a:prstGeom prst="rect">
                    <a:avLst/>
                  </a:prstGeom>
                  <a:noFill/>
                  <a:ln>
                    <a:noFill/>
                  </a:ln>
                  <a:extLst>
                    <a:ext uri="{53640926-AAD7-44D8-BBD7-CCE9431645EC}">
                      <a14:shadowObscured xmlns:a14="http://schemas.microsoft.com/office/drawing/2010/main"/>
                    </a:ext>
                  </a:extLst>
                </pic:spPr>
              </pic:pic>
            </a:graphicData>
          </a:graphic>
        </wp:inline>
      </w:drawing>
    </w:r>
    <w:r w:rsidRPr="00CB52E8">
      <w:rPr>
        <w:b/>
        <w:noProof/>
        <w:sz w:val="28"/>
        <w:szCs w:val="28"/>
      </w:rPr>
      <w:drawing>
        <wp:inline distT="0" distB="0" distL="0" distR="0" wp14:anchorId="2BD54F55" wp14:editId="3151346E">
          <wp:extent cx="574257" cy="668655"/>
          <wp:effectExtent l="0" t="0" r="0" b="0"/>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 cstate="print"/>
                  <a:srcRect/>
                  <a:stretch>
                    <a:fillRect/>
                  </a:stretch>
                </pic:blipFill>
                <pic:spPr bwMode="auto">
                  <a:xfrm>
                    <a:off x="0" y="0"/>
                    <a:ext cx="587879" cy="684516"/>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D45A7" w:rsidRDefault="009D45A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2E05"/>
    <w:multiLevelType w:val="hybridMultilevel"/>
    <w:tmpl w:val="E72637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9A2BFC"/>
    <w:multiLevelType w:val="hybridMultilevel"/>
    <w:tmpl w:val="22D6D546"/>
    <w:lvl w:ilvl="0" w:tplc="0424000D">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202555CA"/>
    <w:multiLevelType w:val="hybridMultilevel"/>
    <w:tmpl w:val="E0ACE336"/>
    <w:lvl w:ilvl="0" w:tplc="0424000D">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6F6167F"/>
    <w:multiLevelType w:val="hybridMultilevel"/>
    <w:tmpl w:val="5204B34C"/>
    <w:lvl w:ilvl="0" w:tplc="0424000B">
      <w:start w:val="1"/>
      <w:numFmt w:val="bullet"/>
      <w:lvlText w:val=""/>
      <w:lvlJc w:val="left"/>
      <w:pPr>
        <w:tabs>
          <w:tab w:val="num" w:pos="720"/>
        </w:tabs>
        <w:ind w:left="720" w:hanging="360"/>
      </w:pPr>
      <w:rPr>
        <w:rFonts w:ascii="Wingdings" w:hAnsi="Wingdings" w:hint="default"/>
        <w:color w:val="auto"/>
      </w:rPr>
    </w:lvl>
    <w:lvl w:ilvl="1" w:tplc="04240003" w:tentative="1">
      <w:start w:val="1"/>
      <w:numFmt w:val="bullet"/>
      <w:lvlText w:val="o"/>
      <w:lvlJc w:val="left"/>
      <w:pPr>
        <w:tabs>
          <w:tab w:val="num" w:pos="1233"/>
        </w:tabs>
        <w:ind w:left="1233" w:hanging="360"/>
      </w:pPr>
      <w:rPr>
        <w:rFonts w:ascii="Courier New" w:hAnsi="Courier New" w:cs="Courier New" w:hint="default"/>
      </w:rPr>
    </w:lvl>
    <w:lvl w:ilvl="2" w:tplc="04240005" w:tentative="1">
      <w:start w:val="1"/>
      <w:numFmt w:val="bullet"/>
      <w:lvlText w:val=""/>
      <w:lvlJc w:val="left"/>
      <w:pPr>
        <w:tabs>
          <w:tab w:val="num" w:pos="1953"/>
        </w:tabs>
        <w:ind w:left="1953" w:hanging="360"/>
      </w:pPr>
      <w:rPr>
        <w:rFonts w:ascii="Wingdings" w:hAnsi="Wingdings" w:hint="default"/>
      </w:rPr>
    </w:lvl>
    <w:lvl w:ilvl="3" w:tplc="04240001" w:tentative="1">
      <w:start w:val="1"/>
      <w:numFmt w:val="bullet"/>
      <w:lvlText w:val=""/>
      <w:lvlJc w:val="left"/>
      <w:pPr>
        <w:tabs>
          <w:tab w:val="num" w:pos="2673"/>
        </w:tabs>
        <w:ind w:left="2673" w:hanging="360"/>
      </w:pPr>
      <w:rPr>
        <w:rFonts w:ascii="Symbol" w:hAnsi="Symbol" w:hint="default"/>
      </w:rPr>
    </w:lvl>
    <w:lvl w:ilvl="4" w:tplc="04240003" w:tentative="1">
      <w:start w:val="1"/>
      <w:numFmt w:val="bullet"/>
      <w:lvlText w:val="o"/>
      <w:lvlJc w:val="left"/>
      <w:pPr>
        <w:tabs>
          <w:tab w:val="num" w:pos="3393"/>
        </w:tabs>
        <w:ind w:left="3393" w:hanging="360"/>
      </w:pPr>
      <w:rPr>
        <w:rFonts w:ascii="Courier New" w:hAnsi="Courier New" w:cs="Courier New" w:hint="default"/>
      </w:rPr>
    </w:lvl>
    <w:lvl w:ilvl="5" w:tplc="04240005" w:tentative="1">
      <w:start w:val="1"/>
      <w:numFmt w:val="bullet"/>
      <w:lvlText w:val=""/>
      <w:lvlJc w:val="left"/>
      <w:pPr>
        <w:tabs>
          <w:tab w:val="num" w:pos="4113"/>
        </w:tabs>
        <w:ind w:left="4113" w:hanging="360"/>
      </w:pPr>
      <w:rPr>
        <w:rFonts w:ascii="Wingdings" w:hAnsi="Wingdings" w:hint="default"/>
      </w:rPr>
    </w:lvl>
    <w:lvl w:ilvl="6" w:tplc="04240001" w:tentative="1">
      <w:start w:val="1"/>
      <w:numFmt w:val="bullet"/>
      <w:lvlText w:val=""/>
      <w:lvlJc w:val="left"/>
      <w:pPr>
        <w:tabs>
          <w:tab w:val="num" w:pos="4833"/>
        </w:tabs>
        <w:ind w:left="4833" w:hanging="360"/>
      </w:pPr>
      <w:rPr>
        <w:rFonts w:ascii="Symbol" w:hAnsi="Symbol" w:hint="default"/>
      </w:rPr>
    </w:lvl>
    <w:lvl w:ilvl="7" w:tplc="04240003" w:tentative="1">
      <w:start w:val="1"/>
      <w:numFmt w:val="bullet"/>
      <w:lvlText w:val="o"/>
      <w:lvlJc w:val="left"/>
      <w:pPr>
        <w:tabs>
          <w:tab w:val="num" w:pos="5553"/>
        </w:tabs>
        <w:ind w:left="5553" w:hanging="360"/>
      </w:pPr>
      <w:rPr>
        <w:rFonts w:ascii="Courier New" w:hAnsi="Courier New" w:cs="Courier New" w:hint="default"/>
      </w:rPr>
    </w:lvl>
    <w:lvl w:ilvl="8" w:tplc="04240005" w:tentative="1">
      <w:start w:val="1"/>
      <w:numFmt w:val="bullet"/>
      <w:lvlText w:val=""/>
      <w:lvlJc w:val="left"/>
      <w:pPr>
        <w:tabs>
          <w:tab w:val="num" w:pos="6273"/>
        </w:tabs>
        <w:ind w:left="6273" w:hanging="360"/>
      </w:pPr>
      <w:rPr>
        <w:rFonts w:ascii="Wingdings" w:hAnsi="Wingdings" w:hint="default"/>
      </w:rPr>
    </w:lvl>
  </w:abstractNum>
  <w:abstractNum w:abstractNumId="4" w15:restartNumberingAfterBreak="0">
    <w:nsid w:val="4C5B74E0"/>
    <w:multiLevelType w:val="hybridMultilevel"/>
    <w:tmpl w:val="21E262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3B501FE"/>
    <w:multiLevelType w:val="hybridMultilevel"/>
    <w:tmpl w:val="4EFA50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A2"/>
    <w:rsid w:val="000836E5"/>
    <w:rsid w:val="00150C69"/>
    <w:rsid w:val="001D6B85"/>
    <w:rsid w:val="00246C51"/>
    <w:rsid w:val="00257B07"/>
    <w:rsid w:val="0028054A"/>
    <w:rsid w:val="00347BDA"/>
    <w:rsid w:val="00467139"/>
    <w:rsid w:val="0050555E"/>
    <w:rsid w:val="00711638"/>
    <w:rsid w:val="007A5B94"/>
    <w:rsid w:val="00832ED6"/>
    <w:rsid w:val="00853A95"/>
    <w:rsid w:val="008922A2"/>
    <w:rsid w:val="0096553F"/>
    <w:rsid w:val="009D45A7"/>
    <w:rsid w:val="00DC299A"/>
    <w:rsid w:val="00F14B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C2ADD"/>
  <w15:docId w15:val="{E134AAB3-70E1-45E0-AB93-2BFF4E50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7A5B94"/>
    <w:pPr>
      <w:ind w:left="720"/>
      <w:contextualSpacing/>
    </w:pPr>
  </w:style>
  <w:style w:type="paragraph" w:styleId="Besedilooblaka">
    <w:name w:val="Balloon Text"/>
    <w:basedOn w:val="Navaden"/>
    <w:link w:val="BesedilooblakaZnak"/>
    <w:uiPriority w:val="99"/>
    <w:semiHidden/>
    <w:unhideWhenUsed/>
    <w:rsid w:val="001D6B8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D6B85"/>
    <w:rPr>
      <w:rFonts w:ascii="Segoe UI" w:hAnsi="Segoe UI" w:cs="Segoe UI"/>
      <w:sz w:val="18"/>
      <w:szCs w:val="18"/>
    </w:rPr>
  </w:style>
  <w:style w:type="character" w:customStyle="1" w:styleId="OdstavekseznamaZnak">
    <w:name w:val="Odstavek seznama Znak"/>
    <w:link w:val="Odstavekseznama"/>
    <w:uiPriority w:val="34"/>
    <w:locked/>
    <w:rsid w:val="00F14B6D"/>
  </w:style>
  <w:style w:type="paragraph" w:styleId="Glava">
    <w:name w:val="header"/>
    <w:basedOn w:val="Navaden"/>
    <w:link w:val="GlavaZnak"/>
    <w:uiPriority w:val="99"/>
    <w:rsid w:val="00F14B6D"/>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GlavaZnak">
    <w:name w:val="Glava Znak"/>
    <w:basedOn w:val="Privzetapisavaodstavka"/>
    <w:link w:val="Glava"/>
    <w:uiPriority w:val="99"/>
    <w:rsid w:val="00F14B6D"/>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347BDA"/>
    <w:pPr>
      <w:tabs>
        <w:tab w:val="center" w:pos="4536"/>
        <w:tab w:val="right" w:pos="9072"/>
      </w:tabs>
      <w:spacing w:after="0" w:line="240" w:lineRule="auto"/>
    </w:pPr>
  </w:style>
  <w:style w:type="character" w:customStyle="1" w:styleId="NogaZnak">
    <w:name w:val="Noga Znak"/>
    <w:basedOn w:val="Privzetapisavaodstavka"/>
    <w:link w:val="Noga"/>
    <w:uiPriority w:val="99"/>
    <w:rsid w:val="00347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312451">
      <w:bodyDiv w:val="1"/>
      <w:marLeft w:val="0"/>
      <w:marRight w:val="0"/>
      <w:marTop w:val="0"/>
      <w:marBottom w:val="0"/>
      <w:divBdr>
        <w:top w:val="none" w:sz="0" w:space="0" w:color="auto"/>
        <w:left w:val="none" w:sz="0" w:space="0" w:color="auto"/>
        <w:bottom w:val="none" w:sz="0" w:space="0" w:color="auto"/>
        <w:right w:val="none" w:sz="0" w:space="0" w:color="auto"/>
      </w:divBdr>
    </w:div>
    <w:div w:id="1406950441">
      <w:bodyDiv w:val="1"/>
      <w:marLeft w:val="0"/>
      <w:marRight w:val="0"/>
      <w:marTop w:val="0"/>
      <w:marBottom w:val="0"/>
      <w:divBdr>
        <w:top w:val="none" w:sz="0" w:space="0" w:color="auto"/>
        <w:left w:val="none" w:sz="0" w:space="0" w:color="auto"/>
        <w:bottom w:val="none" w:sz="0" w:space="0" w:color="auto"/>
        <w:right w:val="none" w:sz="0" w:space="0" w:color="auto"/>
      </w:divBdr>
    </w:div>
    <w:div w:id="197967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C5F82D6-09B2-4FC8-8051-F5E369C3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2817</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 Sadar</dc:creator>
  <cp:lastModifiedBy>Aleš Krže</cp:lastModifiedBy>
  <cp:revision>5</cp:revision>
  <dcterms:created xsi:type="dcterms:W3CDTF">2020-07-02T06:27:00Z</dcterms:created>
  <dcterms:modified xsi:type="dcterms:W3CDTF">2020-07-02T06:29:00Z</dcterms:modified>
</cp:coreProperties>
</file>