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58E" w:rsidRDefault="003F158E" w:rsidP="003F158E">
      <w:pPr>
        <w:pBdr>
          <w:bottom w:val="single" w:sz="12" w:space="1" w:color="auto"/>
        </w:pBdr>
        <w:rPr>
          <w:b/>
          <w:sz w:val="24"/>
          <w:szCs w:val="24"/>
        </w:rPr>
      </w:pPr>
      <w:bookmarkStart w:id="0" w:name="_Hlk32925299"/>
      <w:bookmarkStart w:id="1" w:name="_GoBack"/>
      <w:bookmarkEnd w:id="0"/>
      <w:bookmarkEnd w:id="1"/>
    </w:p>
    <w:p w:rsidR="00D0340E" w:rsidRPr="00D0340E" w:rsidRDefault="00D0340E" w:rsidP="003F158E">
      <w:pPr>
        <w:rPr>
          <w:bCs/>
          <w:sz w:val="24"/>
          <w:szCs w:val="24"/>
        </w:rPr>
      </w:pPr>
      <w:r w:rsidRPr="00D0340E">
        <w:rPr>
          <w:bCs/>
          <w:sz w:val="24"/>
          <w:szCs w:val="24"/>
        </w:rPr>
        <w:t xml:space="preserve">Datum: </w:t>
      </w:r>
      <w:r w:rsidR="005D6F3A">
        <w:rPr>
          <w:bCs/>
          <w:sz w:val="24"/>
          <w:szCs w:val="24"/>
        </w:rPr>
        <w:t>Marec</w:t>
      </w:r>
      <w:r w:rsidR="00135795">
        <w:rPr>
          <w:bCs/>
          <w:sz w:val="24"/>
          <w:szCs w:val="24"/>
        </w:rPr>
        <w:t xml:space="preserve"> </w:t>
      </w:r>
      <w:r w:rsidRPr="00D0340E">
        <w:rPr>
          <w:bCs/>
          <w:sz w:val="24"/>
          <w:szCs w:val="24"/>
        </w:rPr>
        <w:t>2020</w:t>
      </w:r>
    </w:p>
    <w:p w:rsidR="003F158E" w:rsidRDefault="003F158E" w:rsidP="003F158E">
      <w:pPr>
        <w:rPr>
          <w:b/>
          <w:sz w:val="36"/>
          <w:szCs w:val="36"/>
        </w:rPr>
      </w:pPr>
    </w:p>
    <w:p w:rsidR="003F158E" w:rsidRDefault="003F158E" w:rsidP="003F158E">
      <w:pPr>
        <w:jc w:val="center"/>
        <w:rPr>
          <w:b/>
          <w:sz w:val="36"/>
          <w:szCs w:val="36"/>
        </w:rPr>
      </w:pPr>
      <w:r>
        <w:rPr>
          <w:b/>
          <w:sz w:val="36"/>
          <w:szCs w:val="36"/>
        </w:rPr>
        <w:t>POROČILO O SPREMLJANJU SKLADNOSTI IN ZDRAVSTVENE USTREZNOSTI PITNE VODE</w:t>
      </w:r>
    </w:p>
    <w:p w:rsidR="003F158E" w:rsidRDefault="003F158E" w:rsidP="003F158E">
      <w:pPr>
        <w:pStyle w:val="Naslov2"/>
        <w:numPr>
          <w:ilvl w:val="1"/>
          <w:numId w:val="1"/>
        </w:numPr>
        <w:suppressAutoHyphens/>
        <w:jc w:val="center"/>
        <w:rPr>
          <w:b/>
          <w:sz w:val="36"/>
          <w:szCs w:val="36"/>
        </w:rPr>
      </w:pPr>
      <w:r>
        <w:rPr>
          <w:sz w:val="36"/>
          <w:szCs w:val="36"/>
        </w:rPr>
        <w:t>ZA LETO 201</w:t>
      </w:r>
      <w:r w:rsidR="001C49F2">
        <w:rPr>
          <w:sz w:val="36"/>
          <w:szCs w:val="36"/>
        </w:rPr>
        <w:t>9</w:t>
      </w:r>
    </w:p>
    <w:p w:rsidR="003F158E" w:rsidRDefault="003F158E" w:rsidP="003F158E">
      <w:pPr>
        <w:tabs>
          <w:tab w:val="left" w:pos="1120"/>
        </w:tabs>
        <w:jc w:val="center"/>
        <w:rPr>
          <w:b/>
          <w:bCs/>
          <w:sz w:val="32"/>
          <w:szCs w:val="32"/>
        </w:rPr>
      </w:pPr>
      <w:r>
        <w:rPr>
          <w:b/>
          <w:bCs/>
          <w:sz w:val="32"/>
          <w:szCs w:val="32"/>
        </w:rPr>
        <w:t>na sistemih oskrbe s pitno vodo</w:t>
      </w:r>
      <w:r w:rsidR="005D6F3A">
        <w:rPr>
          <w:b/>
          <w:bCs/>
          <w:sz w:val="32"/>
          <w:szCs w:val="32"/>
        </w:rPr>
        <w:t xml:space="preserve"> na območju občine Šmartno pri Litiji</w:t>
      </w:r>
      <w:r>
        <w:rPr>
          <w:b/>
          <w:bCs/>
          <w:sz w:val="32"/>
          <w:szCs w:val="32"/>
        </w:rPr>
        <w:t>, ki so v upravljanju KSP Litija d.o.o.</w:t>
      </w:r>
    </w:p>
    <w:p w:rsidR="003F158E" w:rsidRDefault="003F158E" w:rsidP="003F158E">
      <w:pPr>
        <w:rPr>
          <w:sz w:val="24"/>
        </w:rPr>
      </w:pPr>
    </w:p>
    <w:p w:rsidR="003F158E" w:rsidRPr="000F751B" w:rsidRDefault="003F158E" w:rsidP="003F158E">
      <w:pPr>
        <w:pStyle w:val="Brezrazmikov"/>
        <w:jc w:val="both"/>
        <w:rPr>
          <w:szCs w:val="24"/>
        </w:rPr>
      </w:pPr>
      <w:r w:rsidRPr="000F751B">
        <w:rPr>
          <w:szCs w:val="24"/>
        </w:rPr>
        <w:t xml:space="preserve">Javno podjetje Komunalno stanovanjsko podjetje Litija, d.o.o. (v nadaljevanju: </w:t>
      </w:r>
      <w:r w:rsidRPr="008D4F77">
        <w:rPr>
          <w:bCs/>
          <w:szCs w:val="24"/>
        </w:rPr>
        <w:t>upravljavec</w:t>
      </w:r>
      <w:r w:rsidRPr="000F751B">
        <w:rPr>
          <w:szCs w:val="24"/>
        </w:rPr>
        <w:t xml:space="preserve">) zagotavlja nadzor nad skladnostjo in zdravstveno ustreznostjo pitne vode v okviru </w:t>
      </w:r>
      <w:r w:rsidRPr="008D4F77">
        <w:rPr>
          <w:b/>
          <w:bCs/>
          <w:szCs w:val="24"/>
        </w:rPr>
        <w:t>notranjega nadzora</w:t>
      </w:r>
      <w:r w:rsidRPr="000F751B">
        <w:rPr>
          <w:szCs w:val="24"/>
        </w:rPr>
        <w:t xml:space="preserve"> na vseh sistemih javne oskrbe s pitno vodo s katerimi upravlja. Notranji nadzor je vzpostavljen na osnovah HACCP načrta, ki omogoča prepoznavanje mikrobioloških, kemičnih in fizikalnih tveganj, ki lahko predstavljajo potencialno nevarnost za zdravje ljudi in  določa izvajanje potrebnih ukrepov ter vzpostavljanje stalnega nadzora na tistih mestih (Kritičnih Kontrolnih Točkah – KKT in kontrolnih točkah - KT) v oskrbi s pitno vodo, kjer se tveganja lahko pojavijo. Sestavni del HACCP načrta je tudi Program odvzema vzorcev pitne vode.</w:t>
      </w:r>
    </w:p>
    <w:p w:rsidR="003F158E" w:rsidRPr="000F751B" w:rsidRDefault="003F158E" w:rsidP="003F158E">
      <w:pPr>
        <w:pStyle w:val="Brezrazmikov"/>
        <w:jc w:val="both"/>
        <w:rPr>
          <w:szCs w:val="24"/>
        </w:rPr>
      </w:pPr>
    </w:p>
    <w:p w:rsidR="003F158E" w:rsidRDefault="003F158E" w:rsidP="003F158E">
      <w:pPr>
        <w:tabs>
          <w:tab w:val="left" w:pos="1120"/>
        </w:tabs>
        <w:jc w:val="both"/>
        <w:rPr>
          <w:sz w:val="24"/>
          <w:szCs w:val="24"/>
        </w:rPr>
      </w:pPr>
      <w:r w:rsidRPr="000F751B">
        <w:rPr>
          <w:bCs/>
          <w:sz w:val="24"/>
          <w:szCs w:val="24"/>
        </w:rPr>
        <w:t xml:space="preserve">Poleg notranjega nadzora pa Ministrstvo za zdravje zagotavlja spremljanje pitne vode – </w:t>
      </w:r>
      <w:r w:rsidRPr="008D4F77">
        <w:rPr>
          <w:b/>
          <w:sz w:val="24"/>
          <w:szCs w:val="24"/>
        </w:rPr>
        <w:t>monitoring</w:t>
      </w:r>
      <w:r w:rsidRPr="000F751B">
        <w:rPr>
          <w:bCs/>
          <w:sz w:val="24"/>
          <w:szCs w:val="24"/>
        </w:rPr>
        <w:t>, s  katerim se preverja, ali pitna voda izpolnjuje zahteve</w:t>
      </w:r>
      <w:r w:rsidRPr="000F751B">
        <w:rPr>
          <w:b/>
          <w:sz w:val="24"/>
          <w:szCs w:val="24"/>
        </w:rPr>
        <w:t xml:space="preserve"> </w:t>
      </w:r>
      <w:r w:rsidRPr="008D4F77">
        <w:rPr>
          <w:bCs/>
          <w:sz w:val="24"/>
          <w:szCs w:val="24"/>
        </w:rPr>
        <w:t>Pravilnika o pitni vodi (Ur.l. RS, št. 19/04, 35/04, 26704, 92/06 in 25/09) (v nadaljevanju: Pravilnik o pitni vodi),</w:t>
      </w:r>
      <w:r w:rsidRPr="000F751B">
        <w:rPr>
          <w:sz w:val="24"/>
          <w:szCs w:val="24"/>
        </w:rPr>
        <w:t xml:space="preserve">  </w:t>
      </w:r>
      <w:r w:rsidRPr="000F751B">
        <w:rPr>
          <w:bCs/>
          <w:sz w:val="24"/>
          <w:szCs w:val="24"/>
        </w:rPr>
        <w:t xml:space="preserve">zlasti zahteve za mejne vrednosti parametrov, določene v Prilogi I, Pravilnika o pitni vodi. </w:t>
      </w:r>
      <w:r w:rsidRPr="000F751B">
        <w:rPr>
          <w:sz w:val="24"/>
          <w:szCs w:val="24"/>
        </w:rPr>
        <w:t>Nosilec monitoringa v letu 201</w:t>
      </w:r>
      <w:r w:rsidR="009B15BC">
        <w:rPr>
          <w:sz w:val="24"/>
          <w:szCs w:val="24"/>
        </w:rPr>
        <w:t>9</w:t>
      </w:r>
      <w:r w:rsidRPr="000F751B">
        <w:rPr>
          <w:sz w:val="24"/>
          <w:szCs w:val="24"/>
        </w:rPr>
        <w:t xml:space="preserve"> je bil Nacionalni inštitut za javno zdravje (NIJZ),</w:t>
      </w:r>
      <w:r w:rsidRPr="000F751B">
        <w:rPr>
          <w:color w:val="FF0000"/>
          <w:sz w:val="24"/>
          <w:szCs w:val="24"/>
        </w:rPr>
        <w:t xml:space="preserve"> </w:t>
      </w:r>
      <w:r w:rsidRPr="000F751B">
        <w:rPr>
          <w:sz w:val="24"/>
          <w:szCs w:val="24"/>
        </w:rPr>
        <w:t>izvajalec pa Nacionalni laboratorij za zdravje, okolje in hrano (NLZOH).</w:t>
      </w:r>
    </w:p>
    <w:p w:rsidR="00054C82" w:rsidRDefault="00054C82" w:rsidP="003F158E">
      <w:pPr>
        <w:tabs>
          <w:tab w:val="left" w:pos="1120"/>
        </w:tabs>
        <w:jc w:val="both"/>
        <w:rPr>
          <w:sz w:val="24"/>
          <w:szCs w:val="24"/>
        </w:rPr>
      </w:pPr>
    </w:p>
    <w:p w:rsidR="00054C82" w:rsidRDefault="00054C82" w:rsidP="00054C82">
      <w:pPr>
        <w:pStyle w:val="Brezrazmikov"/>
        <w:jc w:val="both"/>
        <w:rPr>
          <w:szCs w:val="24"/>
        </w:rPr>
      </w:pPr>
      <w:r w:rsidRPr="000F751B">
        <w:rPr>
          <w:szCs w:val="24"/>
        </w:rPr>
        <w:t>Število pregledov in število odvzetih vzorcev pitne vode, v posameznem oskrbovalnem sistemu, je prilagojeno povprečni dnevni porabi pitne vode. Storitev odvzema vzorcev pitne vode in nadaljnje preiskave</w:t>
      </w:r>
      <w:r w:rsidR="008D4F77">
        <w:rPr>
          <w:szCs w:val="24"/>
        </w:rPr>
        <w:t>, v okviru notranjega nadzora</w:t>
      </w:r>
      <w:r w:rsidR="002B02BD">
        <w:rPr>
          <w:szCs w:val="24"/>
        </w:rPr>
        <w:t xml:space="preserve"> </w:t>
      </w:r>
      <w:r w:rsidRPr="000F751B">
        <w:rPr>
          <w:szCs w:val="24"/>
        </w:rPr>
        <w:t>je  v letu 201</w:t>
      </w:r>
      <w:r>
        <w:rPr>
          <w:szCs w:val="24"/>
        </w:rPr>
        <w:t>9</w:t>
      </w:r>
      <w:r w:rsidRPr="000F751B">
        <w:rPr>
          <w:szCs w:val="24"/>
        </w:rPr>
        <w:t xml:space="preserve"> izvajal Nacionalni laboratorij za zdravje, okolje in hrano s katerim ima upravljavec sklenjeno pogodbo.</w:t>
      </w:r>
    </w:p>
    <w:p w:rsidR="00054C82" w:rsidRDefault="00054C82" w:rsidP="00054C82">
      <w:pPr>
        <w:jc w:val="both"/>
        <w:rPr>
          <w:b/>
          <w:bCs/>
        </w:rPr>
      </w:pPr>
    </w:p>
    <w:p w:rsidR="00054C82" w:rsidRDefault="00054C82" w:rsidP="00054C82">
      <w:pPr>
        <w:pStyle w:val="Telobesedila"/>
        <w:rPr>
          <w:bCs/>
          <w:szCs w:val="24"/>
        </w:rPr>
      </w:pPr>
      <w:r>
        <w:rPr>
          <w:bCs/>
          <w:szCs w:val="24"/>
        </w:rPr>
        <w:t>Zdravstveno ustreznost in skladnost pitne vode s Pravilnikom o pitni vodi,</w:t>
      </w:r>
      <w:r>
        <w:rPr>
          <w:bCs/>
          <w:color w:val="FF0000"/>
          <w:szCs w:val="24"/>
        </w:rPr>
        <w:t xml:space="preserve"> </w:t>
      </w:r>
      <w:r w:rsidRPr="00C26F04">
        <w:rPr>
          <w:bCs/>
          <w:szCs w:val="24"/>
        </w:rPr>
        <w:t>ocenjujemo</w:t>
      </w:r>
      <w:r>
        <w:rPr>
          <w:bCs/>
          <w:color w:val="FF0000"/>
          <w:szCs w:val="24"/>
        </w:rPr>
        <w:t xml:space="preserve"> </w:t>
      </w:r>
      <w:r>
        <w:t xml:space="preserve">na podlagi opravljenih terenskih pregledov in meritev, mikrobioloških preskušanj in fizikalno kemijskih preskušanj odvzetih vzorcev pitne vode v posameznem oskrbovalnem sistemu. </w:t>
      </w:r>
      <w:r w:rsidR="006D07A0">
        <w:t xml:space="preserve">Navadno </w:t>
      </w:r>
      <w:r>
        <w:rPr>
          <w:bCs/>
          <w:szCs w:val="24"/>
        </w:rPr>
        <w:t xml:space="preserve">velja, da je oskrba s pitno vodo v večjih oskrbovalnih sistemih varnejša, kot v manjših oskrbovalnih sistemih. </w:t>
      </w:r>
    </w:p>
    <w:p w:rsidR="006D07A0" w:rsidRDefault="006D07A0" w:rsidP="00054C82">
      <w:pPr>
        <w:pStyle w:val="Telobesedila"/>
        <w:rPr>
          <w:bCs/>
          <w:szCs w:val="24"/>
        </w:rPr>
      </w:pPr>
    </w:p>
    <w:p w:rsidR="00054C82" w:rsidRDefault="009A7740" w:rsidP="00054C82">
      <w:pPr>
        <w:pStyle w:val="Telobesedila"/>
        <w:rPr>
          <w:bCs/>
          <w:szCs w:val="24"/>
        </w:rPr>
      </w:pPr>
      <w:r>
        <w:rPr>
          <w:bCs/>
          <w:szCs w:val="24"/>
        </w:rPr>
        <w:t>V splošnem ocenjujemo, da je bila oskrba s pitno vodo v letu 2019 na vseh sistemih javne oskrbe s pitno vodo v upravljanju javnega podjetja varna. Notranji nadzor je zagotavljal pravočasno odkrivanje pomanjkljivosti in uspešno odpravo vzrokov za neskladja.</w:t>
      </w:r>
      <w:r w:rsidR="00AC6996" w:rsidRPr="00AC6996">
        <w:rPr>
          <w:bCs/>
          <w:szCs w:val="24"/>
        </w:rPr>
        <w:t xml:space="preserve"> </w:t>
      </w:r>
      <w:r w:rsidR="00AC6996">
        <w:rPr>
          <w:bCs/>
          <w:szCs w:val="24"/>
        </w:rPr>
        <w:t xml:space="preserve">Osnovni pogoj za varno oskrbo s pitno vodo so objekti, ki so sanitarno tehnično ustrezni. Priprava vode pred distribucijo se lahko uvede, ko se izčrpa vse ostale možnosti  in v kolikor ne razpolagamo z zajetjem, ki omogoča zajem pitne vode, ki je skladna z določili Pravilnika o pitni vodi.  </w:t>
      </w:r>
      <w:r>
        <w:rPr>
          <w:bCs/>
          <w:szCs w:val="24"/>
        </w:rPr>
        <w:t xml:space="preserve"> Odprava tehničnih pomanjkljivosti, ki bi zagotavljale še večjo varnost oskrbe s pitno vodo  se izvaja postopno v soglasju z lastnikoma vodovodnih sistemov torej Občino Litija in Občino Šmartno pri Litiji.</w:t>
      </w:r>
    </w:p>
    <w:p w:rsidR="00F45273" w:rsidRDefault="00F45273" w:rsidP="003452CC">
      <w:pPr>
        <w:jc w:val="both"/>
        <w:rPr>
          <w:sz w:val="24"/>
          <w:szCs w:val="24"/>
        </w:rPr>
      </w:pPr>
    </w:p>
    <w:p w:rsidR="00431AB5" w:rsidRPr="00054C82" w:rsidRDefault="00431AB5" w:rsidP="00431AB5">
      <w:pPr>
        <w:pStyle w:val="Naslov1"/>
        <w:jc w:val="both"/>
        <w:rPr>
          <w:sz w:val="24"/>
          <w:szCs w:val="24"/>
        </w:rPr>
      </w:pPr>
      <w:r w:rsidRPr="00597F0A">
        <w:rPr>
          <w:b w:val="0"/>
          <w:iCs/>
          <w:sz w:val="24"/>
          <w:szCs w:val="24"/>
        </w:rPr>
        <w:t xml:space="preserve">Poročilo o številu </w:t>
      </w:r>
      <w:r w:rsidR="002B02BD">
        <w:rPr>
          <w:b w:val="0"/>
          <w:iCs/>
          <w:sz w:val="24"/>
          <w:szCs w:val="24"/>
        </w:rPr>
        <w:t xml:space="preserve">vseh </w:t>
      </w:r>
      <w:r w:rsidRPr="00597F0A">
        <w:rPr>
          <w:b w:val="0"/>
          <w:iCs/>
          <w:sz w:val="24"/>
          <w:szCs w:val="24"/>
        </w:rPr>
        <w:t xml:space="preserve">odvzetih vzorcev pitne vode in rezultate o skladnosti in neskladnosti s Pravilnikom o pitni vodi na preiskane parametre za posamezne sisteme za oskrbo s pitno vodo </w:t>
      </w:r>
      <w:r>
        <w:rPr>
          <w:b w:val="0"/>
          <w:iCs/>
          <w:sz w:val="24"/>
          <w:szCs w:val="24"/>
        </w:rPr>
        <w:t>je podano</w:t>
      </w:r>
      <w:r w:rsidRPr="00597F0A">
        <w:rPr>
          <w:b w:val="0"/>
          <w:iCs/>
          <w:sz w:val="24"/>
          <w:szCs w:val="24"/>
        </w:rPr>
        <w:t xml:space="preserve"> </w:t>
      </w:r>
      <w:r>
        <w:rPr>
          <w:b w:val="0"/>
          <w:iCs/>
          <w:sz w:val="24"/>
          <w:szCs w:val="24"/>
        </w:rPr>
        <w:t xml:space="preserve">za območje občine </w:t>
      </w:r>
      <w:r w:rsidR="00F80149">
        <w:rPr>
          <w:b w:val="0"/>
          <w:iCs/>
          <w:sz w:val="24"/>
          <w:szCs w:val="24"/>
        </w:rPr>
        <w:t>Šmartno pri Litiji pa v Tabeli</w:t>
      </w:r>
      <w:r w:rsidR="005D6F3A">
        <w:rPr>
          <w:b w:val="0"/>
          <w:iCs/>
          <w:sz w:val="24"/>
          <w:szCs w:val="24"/>
        </w:rPr>
        <w:t>, ki prikazuje tudi ukrepe za odpravo vzrokov neskladja</w:t>
      </w:r>
      <w:r w:rsidR="00E728C3">
        <w:rPr>
          <w:b w:val="0"/>
          <w:iCs/>
          <w:sz w:val="24"/>
          <w:szCs w:val="24"/>
        </w:rPr>
        <w:t>.</w:t>
      </w:r>
      <w:r w:rsidRPr="00597F0A">
        <w:rPr>
          <w:b w:val="0"/>
          <w:iCs/>
          <w:sz w:val="24"/>
          <w:szCs w:val="24"/>
        </w:rPr>
        <w:t xml:space="preserve">  </w:t>
      </w:r>
      <w:r w:rsidR="002B02BD">
        <w:rPr>
          <w:b w:val="0"/>
          <w:iCs/>
          <w:sz w:val="24"/>
          <w:szCs w:val="24"/>
        </w:rPr>
        <w:t xml:space="preserve">Graf prikazuje samo </w:t>
      </w:r>
      <w:r w:rsidR="005D6F3A">
        <w:rPr>
          <w:b w:val="0"/>
          <w:iCs/>
          <w:sz w:val="24"/>
          <w:szCs w:val="24"/>
        </w:rPr>
        <w:t xml:space="preserve">skupno število </w:t>
      </w:r>
      <w:r w:rsidR="002B02BD">
        <w:rPr>
          <w:b w:val="0"/>
          <w:iCs/>
          <w:sz w:val="24"/>
          <w:szCs w:val="24"/>
        </w:rPr>
        <w:t>vzorce</w:t>
      </w:r>
      <w:r w:rsidR="005D6F3A">
        <w:rPr>
          <w:b w:val="0"/>
          <w:iCs/>
          <w:sz w:val="24"/>
          <w:szCs w:val="24"/>
        </w:rPr>
        <w:t>v</w:t>
      </w:r>
      <w:r w:rsidR="002B02BD">
        <w:rPr>
          <w:b w:val="0"/>
          <w:iCs/>
          <w:sz w:val="24"/>
          <w:szCs w:val="24"/>
        </w:rPr>
        <w:t xml:space="preserve"> odvzet</w:t>
      </w:r>
      <w:r w:rsidR="005D6F3A">
        <w:rPr>
          <w:b w:val="0"/>
          <w:iCs/>
          <w:sz w:val="24"/>
          <w:szCs w:val="24"/>
        </w:rPr>
        <w:t>ih</w:t>
      </w:r>
      <w:r w:rsidR="002B02BD">
        <w:rPr>
          <w:b w:val="0"/>
          <w:iCs/>
          <w:sz w:val="24"/>
          <w:szCs w:val="24"/>
        </w:rPr>
        <w:t xml:space="preserve"> v okviru notranjega nadzora.</w:t>
      </w:r>
    </w:p>
    <w:p w:rsidR="00431AB5" w:rsidRPr="00F45273" w:rsidRDefault="00431AB5" w:rsidP="003452CC">
      <w:pPr>
        <w:jc w:val="both"/>
        <w:rPr>
          <w:sz w:val="24"/>
          <w:szCs w:val="24"/>
        </w:rPr>
      </w:pPr>
    </w:p>
    <w:p w:rsidR="00B233BE" w:rsidRDefault="00B233BE" w:rsidP="00B233BE">
      <w:pPr>
        <w:jc w:val="center"/>
        <w:rPr>
          <w:sz w:val="18"/>
          <w:szCs w:val="18"/>
        </w:rPr>
      </w:pPr>
    </w:p>
    <w:p w:rsidR="00FF4E3D" w:rsidRDefault="00FF4E3D" w:rsidP="00B233BE">
      <w:pPr>
        <w:jc w:val="center"/>
        <w:rPr>
          <w:sz w:val="18"/>
          <w:szCs w:val="18"/>
        </w:rPr>
      </w:pPr>
    </w:p>
    <w:p w:rsidR="00FF4E3D" w:rsidRPr="00236CB9" w:rsidRDefault="005E3057" w:rsidP="00FF4E3D">
      <w:pPr>
        <w:rPr>
          <w:sz w:val="18"/>
          <w:szCs w:val="18"/>
        </w:rPr>
      </w:pPr>
      <w:r>
        <w:rPr>
          <w:sz w:val="24"/>
          <w:szCs w:val="24"/>
        </w:rPr>
        <w:t xml:space="preserve"> </w:t>
      </w:r>
    </w:p>
    <w:tbl>
      <w:tblPr>
        <w:tblpPr w:leftFromText="141" w:rightFromText="141" w:tblpY="285"/>
        <w:tblW w:w="10573" w:type="dxa"/>
        <w:tblCellMar>
          <w:left w:w="70" w:type="dxa"/>
          <w:right w:w="70" w:type="dxa"/>
        </w:tblCellMar>
        <w:tblLook w:val="04A0" w:firstRow="1" w:lastRow="0" w:firstColumn="1" w:lastColumn="0" w:noHBand="0" w:noVBand="1"/>
      </w:tblPr>
      <w:tblGrid>
        <w:gridCol w:w="474"/>
        <w:gridCol w:w="1411"/>
        <w:gridCol w:w="990"/>
        <w:gridCol w:w="1050"/>
        <w:gridCol w:w="1060"/>
        <w:gridCol w:w="961"/>
        <w:gridCol w:w="391"/>
        <w:gridCol w:w="870"/>
        <w:gridCol w:w="985"/>
        <w:gridCol w:w="1120"/>
        <w:gridCol w:w="391"/>
        <w:gridCol w:w="870"/>
      </w:tblGrid>
      <w:tr w:rsidR="00FF4E3D" w:rsidRPr="00DA4BB1" w:rsidTr="00B233BE">
        <w:trPr>
          <w:trHeight w:val="70"/>
        </w:trPr>
        <w:tc>
          <w:tcPr>
            <w:tcW w:w="10573" w:type="dxa"/>
            <w:gridSpan w:val="12"/>
            <w:tcBorders>
              <w:top w:val="single" w:sz="4" w:space="0" w:color="auto"/>
              <w:left w:val="single" w:sz="4" w:space="0" w:color="auto"/>
              <w:bottom w:val="single" w:sz="4" w:space="0" w:color="auto"/>
              <w:right w:val="single" w:sz="4" w:space="0" w:color="auto"/>
            </w:tcBorders>
            <w:vAlign w:val="center"/>
          </w:tcPr>
          <w:p w:rsidR="00FF4E3D" w:rsidRPr="00685C90" w:rsidRDefault="00FF4E3D" w:rsidP="00E35C33">
            <w:pPr>
              <w:jc w:val="center"/>
              <w:rPr>
                <w:b/>
                <w:bCs/>
                <w:color w:val="000000"/>
                <w:lang w:eastAsia="sl-SI"/>
              </w:rPr>
            </w:pPr>
            <w:r w:rsidRPr="00685C90">
              <w:rPr>
                <w:b/>
                <w:bCs/>
                <w:color w:val="000000"/>
                <w:lang w:eastAsia="sl-SI"/>
              </w:rPr>
              <w:lastRenderedPageBreak/>
              <w:t>SPREMLJANJE ZDRAVSTVENE USTREZNOSTI PITNE VODE v letu 2019</w:t>
            </w:r>
            <w:r w:rsidR="00B91C7F">
              <w:rPr>
                <w:b/>
                <w:bCs/>
                <w:color w:val="000000"/>
                <w:lang w:eastAsia="sl-SI"/>
              </w:rPr>
              <w:t>;</w:t>
            </w:r>
            <w:r w:rsidRPr="00685C90">
              <w:rPr>
                <w:b/>
                <w:bCs/>
                <w:color w:val="000000"/>
                <w:lang w:eastAsia="sl-SI"/>
              </w:rPr>
              <w:t xml:space="preserve"> </w:t>
            </w:r>
            <w:r w:rsidR="00324204">
              <w:rPr>
                <w:b/>
                <w:bCs/>
                <w:color w:val="000000"/>
                <w:lang w:eastAsia="sl-SI"/>
              </w:rPr>
              <w:t>Notranji nadzor in Monitoring</w:t>
            </w:r>
            <w:r w:rsidRPr="00685C90">
              <w:rPr>
                <w:b/>
                <w:bCs/>
                <w:color w:val="000000"/>
                <w:lang w:eastAsia="sl-SI"/>
              </w:rPr>
              <w:t xml:space="preserve"> Upravljavec: KSP Litija d.o.o., območje občine Šmartno</w:t>
            </w:r>
          </w:p>
        </w:tc>
      </w:tr>
      <w:tr w:rsidR="00FF4E3D" w:rsidRPr="00DA4BB1" w:rsidTr="00B233BE">
        <w:trPr>
          <w:trHeight w:val="324"/>
        </w:trPr>
        <w:tc>
          <w:tcPr>
            <w:tcW w:w="474" w:type="dxa"/>
            <w:vMerge w:val="restart"/>
            <w:tcBorders>
              <w:top w:val="nil"/>
              <w:left w:val="single" w:sz="4" w:space="0" w:color="auto"/>
              <w:right w:val="single" w:sz="4" w:space="0" w:color="auto"/>
            </w:tcBorders>
            <w:shd w:val="clear" w:color="auto" w:fill="auto"/>
            <w:noWrap/>
            <w:vAlign w:val="bottom"/>
            <w:hideMark/>
          </w:tcPr>
          <w:p w:rsidR="00FF4E3D" w:rsidRPr="004F536F" w:rsidRDefault="00FF4E3D" w:rsidP="00E35C33">
            <w:pPr>
              <w:rPr>
                <w:color w:val="000000"/>
                <w:sz w:val="16"/>
                <w:szCs w:val="16"/>
                <w:lang w:eastAsia="sl-SI"/>
              </w:rPr>
            </w:pPr>
            <w:r w:rsidRPr="004F536F">
              <w:rPr>
                <w:color w:val="000000"/>
                <w:sz w:val="16"/>
                <w:szCs w:val="16"/>
                <w:lang w:eastAsia="sl-SI"/>
              </w:rPr>
              <w:t> </w:t>
            </w:r>
          </w:p>
          <w:p w:rsidR="00FF4E3D" w:rsidRPr="004F536F" w:rsidRDefault="00FF4E3D" w:rsidP="00E35C33">
            <w:pPr>
              <w:rPr>
                <w:color w:val="000000"/>
                <w:sz w:val="16"/>
                <w:szCs w:val="16"/>
                <w:lang w:eastAsia="sl-SI"/>
              </w:rPr>
            </w:pPr>
            <w:r w:rsidRPr="004F536F">
              <w:rPr>
                <w:color w:val="000000"/>
                <w:sz w:val="16"/>
                <w:szCs w:val="16"/>
                <w:lang w:eastAsia="sl-SI"/>
              </w:rPr>
              <w:t> </w:t>
            </w:r>
          </w:p>
        </w:tc>
        <w:tc>
          <w:tcPr>
            <w:tcW w:w="1411" w:type="dxa"/>
            <w:vMerge w:val="restart"/>
            <w:tcBorders>
              <w:top w:val="nil"/>
              <w:left w:val="nil"/>
              <w:right w:val="single" w:sz="4" w:space="0" w:color="auto"/>
            </w:tcBorders>
            <w:shd w:val="clear" w:color="auto" w:fill="auto"/>
            <w:noWrap/>
            <w:vAlign w:val="center"/>
            <w:hideMark/>
          </w:tcPr>
          <w:p w:rsidR="00FF4E3D" w:rsidRPr="00514941" w:rsidRDefault="00FF4E3D" w:rsidP="00E35C33">
            <w:pPr>
              <w:rPr>
                <w:color w:val="000000"/>
                <w:sz w:val="18"/>
                <w:szCs w:val="18"/>
                <w:lang w:eastAsia="sl-SI"/>
              </w:rPr>
            </w:pPr>
            <w:r w:rsidRPr="00514941">
              <w:rPr>
                <w:color w:val="000000"/>
                <w:sz w:val="18"/>
                <w:szCs w:val="18"/>
                <w:lang w:eastAsia="sl-SI"/>
              </w:rPr>
              <w:t>Vodovodni sistem - Oskrbovalno območje</w:t>
            </w:r>
          </w:p>
        </w:tc>
        <w:tc>
          <w:tcPr>
            <w:tcW w:w="990" w:type="dxa"/>
            <w:vMerge w:val="restart"/>
            <w:tcBorders>
              <w:top w:val="nil"/>
              <w:left w:val="nil"/>
              <w:right w:val="single" w:sz="4" w:space="0" w:color="auto"/>
            </w:tcBorders>
            <w:shd w:val="clear" w:color="auto" w:fill="auto"/>
            <w:noWrap/>
            <w:vAlign w:val="bottom"/>
            <w:hideMark/>
          </w:tcPr>
          <w:p w:rsidR="00FF4E3D" w:rsidRPr="00514941" w:rsidRDefault="00FF4E3D" w:rsidP="00E35C33">
            <w:pPr>
              <w:jc w:val="center"/>
              <w:rPr>
                <w:color w:val="000000"/>
                <w:sz w:val="18"/>
                <w:szCs w:val="18"/>
                <w:lang w:eastAsia="sl-SI"/>
              </w:rPr>
            </w:pPr>
            <w:r w:rsidRPr="00514941">
              <w:rPr>
                <w:color w:val="000000"/>
                <w:sz w:val="18"/>
                <w:szCs w:val="18"/>
                <w:lang w:eastAsia="sl-SI"/>
              </w:rPr>
              <w:t xml:space="preserve"> Distribucija vode: m</w:t>
            </w:r>
            <w:r w:rsidRPr="00514941">
              <w:rPr>
                <w:color w:val="000000"/>
                <w:sz w:val="18"/>
                <w:szCs w:val="18"/>
                <w:vertAlign w:val="superscript"/>
                <w:lang w:eastAsia="sl-SI"/>
              </w:rPr>
              <w:t>3</w:t>
            </w:r>
            <w:r w:rsidRPr="00514941">
              <w:rPr>
                <w:color w:val="000000"/>
                <w:sz w:val="18"/>
                <w:szCs w:val="18"/>
                <w:lang w:eastAsia="sl-SI"/>
              </w:rPr>
              <w:t>/dan</w:t>
            </w:r>
          </w:p>
          <w:p w:rsidR="00FF4E3D" w:rsidRPr="00514941" w:rsidRDefault="00FF4E3D" w:rsidP="00E35C33">
            <w:pPr>
              <w:rPr>
                <w:color w:val="000000"/>
                <w:sz w:val="18"/>
                <w:szCs w:val="18"/>
                <w:lang w:eastAsia="sl-SI"/>
              </w:rPr>
            </w:pPr>
            <w:r w:rsidRPr="00514941">
              <w:rPr>
                <w:color w:val="000000"/>
                <w:sz w:val="18"/>
                <w:szCs w:val="18"/>
                <w:lang w:eastAsia="sl-SI"/>
              </w:rPr>
              <w:t> </w:t>
            </w:r>
          </w:p>
        </w:tc>
        <w:tc>
          <w:tcPr>
            <w:tcW w:w="1050" w:type="dxa"/>
            <w:vMerge w:val="restart"/>
            <w:tcBorders>
              <w:top w:val="nil"/>
              <w:left w:val="nil"/>
              <w:right w:val="single" w:sz="4" w:space="0" w:color="auto"/>
            </w:tcBorders>
            <w:shd w:val="clear" w:color="auto" w:fill="auto"/>
            <w:noWrap/>
            <w:vAlign w:val="bottom"/>
            <w:hideMark/>
          </w:tcPr>
          <w:p w:rsidR="00FF4E3D" w:rsidRPr="00514941" w:rsidRDefault="00FF4E3D" w:rsidP="00E35C33">
            <w:pPr>
              <w:jc w:val="center"/>
              <w:rPr>
                <w:color w:val="000000"/>
                <w:sz w:val="18"/>
                <w:szCs w:val="18"/>
                <w:lang w:eastAsia="sl-SI"/>
              </w:rPr>
            </w:pPr>
            <w:r w:rsidRPr="00514941">
              <w:rPr>
                <w:color w:val="000000"/>
                <w:sz w:val="18"/>
                <w:szCs w:val="18"/>
                <w:lang w:eastAsia="sl-SI"/>
              </w:rPr>
              <w:t>Število uporabnikov</w:t>
            </w:r>
          </w:p>
          <w:p w:rsidR="00FF4E3D" w:rsidRPr="00514941" w:rsidRDefault="00FF4E3D" w:rsidP="00E35C33">
            <w:pPr>
              <w:rPr>
                <w:color w:val="000000"/>
                <w:sz w:val="18"/>
                <w:szCs w:val="18"/>
                <w:lang w:eastAsia="sl-SI"/>
              </w:rPr>
            </w:pPr>
            <w:r w:rsidRPr="00514941">
              <w:rPr>
                <w:color w:val="000000"/>
                <w:sz w:val="18"/>
                <w:szCs w:val="18"/>
                <w:lang w:eastAsia="sl-SI"/>
              </w:rPr>
              <w:t> </w:t>
            </w:r>
          </w:p>
        </w:tc>
        <w:tc>
          <w:tcPr>
            <w:tcW w:w="1060" w:type="dxa"/>
            <w:vMerge w:val="restart"/>
            <w:tcBorders>
              <w:top w:val="nil"/>
              <w:left w:val="nil"/>
              <w:right w:val="single" w:sz="4" w:space="0" w:color="auto"/>
            </w:tcBorders>
            <w:shd w:val="clear" w:color="auto" w:fill="auto"/>
            <w:noWrap/>
            <w:vAlign w:val="center"/>
            <w:hideMark/>
          </w:tcPr>
          <w:p w:rsidR="00FF4E3D" w:rsidRPr="00514941" w:rsidRDefault="00FF4E3D" w:rsidP="00E35C33">
            <w:pPr>
              <w:rPr>
                <w:color w:val="000000"/>
                <w:sz w:val="18"/>
                <w:szCs w:val="18"/>
                <w:lang w:eastAsia="sl-SI"/>
              </w:rPr>
            </w:pPr>
            <w:r w:rsidRPr="00514941">
              <w:rPr>
                <w:color w:val="000000"/>
                <w:sz w:val="18"/>
                <w:szCs w:val="18"/>
                <w:lang w:eastAsia="sl-SI"/>
              </w:rPr>
              <w:t>Dezinfekcija</w:t>
            </w:r>
          </w:p>
          <w:p w:rsidR="00FF4E3D" w:rsidRPr="00514941" w:rsidRDefault="00FF4E3D" w:rsidP="00E35C33">
            <w:pPr>
              <w:rPr>
                <w:color w:val="000000"/>
                <w:sz w:val="18"/>
                <w:szCs w:val="18"/>
                <w:lang w:eastAsia="sl-SI"/>
              </w:rPr>
            </w:pPr>
          </w:p>
        </w:tc>
        <w:tc>
          <w:tcPr>
            <w:tcW w:w="961" w:type="dxa"/>
            <w:vMerge w:val="restart"/>
            <w:tcBorders>
              <w:top w:val="nil"/>
              <w:left w:val="nil"/>
              <w:right w:val="single" w:sz="4" w:space="0" w:color="auto"/>
            </w:tcBorders>
            <w:vAlign w:val="center"/>
          </w:tcPr>
          <w:p w:rsidR="00FF4E3D" w:rsidRPr="00514941" w:rsidRDefault="00FF4E3D" w:rsidP="00E35C33">
            <w:pPr>
              <w:jc w:val="center"/>
              <w:rPr>
                <w:color w:val="000000"/>
                <w:sz w:val="18"/>
                <w:szCs w:val="18"/>
                <w:lang w:eastAsia="sl-SI"/>
              </w:rPr>
            </w:pPr>
            <w:r w:rsidRPr="00514941">
              <w:rPr>
                <w:color w:val="000000"/>
                <w:sz w:val="18"/>
                <w:szCs w:val="18"/>
                <w:lang w:eastAsia="sl-SI"/>
              </w:rPr>
              <w:t>Vrsta nadzora</w:t>
            </w:r>
          </w:p>
        </w:tc>
        <w:tc>
          <w:tcPr>
            <w:tcW w:w="3366" w:type="dxa"/>
            <w:gridSpan w:val="4"/>
            <w:tcBorders>
              <w:top w:val="nil"/>
              <w:left w:val="nil"/>
              <w:bottom w:val="single" w:sz="4" w:space="0" w:color="auto"/>
              <w:right w:val="single" w:sz="4" w:space="0" w:color="auto"/>
            </w:tcBorders>
            <w:vAlign w:val="center"/>
          </w:tcPr>
          <w:p w:rsidR="00FF4E3D" w:rsidRPr="00514941" w:rsidRDefault="00FF4E3D" w:rsidP="00E35C33">
            <w:pPr>
              <w:jc w:val="center"/>
              <w:rPr>
                <w:color w:val="000000"/>
                <w:sz w:val="18"/>
                <w:szCs w:val="18"/>
                <w:lang w:eastAsia="sl-SI"/>
              </w:rPr>
            </w:pPr>
            <w:r w:rsidRPr="00514941">
              <w:rPr>
                <w:color w:val="000000"/>
                <w:sz w:val="18"/>
                <w:szCs w:val="18"/>
                <w:lang w:eastAsia="sl-SI"/>
              </w:rPr>
              <w:t>Mikrobiološka preskušanja: število vzorcev</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FF4E3D" w:rsidRPr="00514941" w:rsidRDefault="00FF4E3D" w:rsidP="00E35C33">
            <w:pPr>
              <w:jc w:val="center"/>
              <w:rPr>
                <w:color w:val="000000"/>
                <w:sz w:val="18"/>
                <w:szCs w:val="18"/>
                <w:lang w:eastAsia="sl-SI"/>
              </w:rPr>
            </w:pPr>
            <w:r w:rsidRPr="00514941">
              <w:rPr>
                <w:color w:val="000000"/>
                <w:sz w:val="18"/>
                <w:szCs w:val="18"/>
                <w:lang w:eastAsia="sl-SI"/>
              </w:rPr>
              <w:t>Kemijska preskušanja: število vzorcev</w:t>
            </w:r>
          </w:p>
        </w:tc>
      </w:tr>
      <w:tr w:rsidR="00FF4E3D" w:rsidRPr="00DA4BB1" w:rsidTr="00B233BE">
        <w:trPr>
          <w:trHeight w:val="324"/>
        </w:trPr>
        <w:tc>
          <w:tcPr>
            <w:tcW w:w="474" w:type="dxa"/>
            <w:vMerge/>
            <w:tcBorders>
              <w:left w:val="single" w:sz="4" w:space="0" w:color="auto"/>
              <w:bottom w:val="single" w:sz="4" w:space="0" w:color="auto"/>
              <w:right w:val="single" w:sz="4" w:space="0" w:color="auto"/>
            </w:tcBorders>
            <w:shd w:val="clear" w:color="auto" w:fill="auto"/>
            <w:noWrap/>
            <w:vAlign w:val="bottom"/>
            <w:hideMark/>
          </w:tcPr>
          <w:p w:rsidR="00FF4E3D" w:rsidRPr="004F536F" w:rsidRDefault="00FF4E3D" w:rsidP="00E35C33">
            <w:pPr>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hideMark/>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hideMark/>
          </w:tcPr>
          <w:p w:rsidR="00FF4E3D" w:rsidRPr="00514941" w:rsidRDefault="00FF4E3D" w:rsidP="00E35C33">
            <w:pPr>
              <w:rPr>
                <w:color w:val="00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hideMark/>
          </w:tcPr>
          <w:p w:rsidR="00FF4E3D" w:rsidRPr="00514941" w:rsidRDefault="00FF4E3D" w:rsidP="00E35C33">
            <w:pPr>
              <w:rPr>
                <w:color w:val="000000"/>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hideMark/>
          </w:tcPr>
          <w:p w:rsidR="00FF4E3D" w:rsidRPr="00514941" w:rsidRDefault="00FF4E3D" w:rsidP="00E35C33">
            <w:pPr>
              <w:rPr>
                <w:color w:val="000000"/>
                <w:sz w:val="18"/>
                <w:szCs w:val="18"/>
                <w:lang w:eastAsia="sl-SI"/>
              </w:rPr>
            </w:pPr>
          </w:p>
        </w:tc>
        <w:tc>
          <w:tcPr>
            <w:tcW w:w="961" w:type="dxa"/>
            <w:vMerge/>
            <w:tcBorders>
              <w:left w:val="nil"/>
              <w:bottom w:val="single" w:sz="4" w:space="0" w:color="auto"/>
              <w:right w:val="single" w:sz="4" w:space="0" w:color="auto"/>
            </w:tcBorders>
            <w:shd w:val="clear" w:color="auto" w:fill="auto"/>
            <w:noWrap/>
            <w:vAlign w:val="bottom"/>
            <w:hideMark/>
          </w:tcPr>
          <w:p w:rsidR="00FF4E3D" w:rsidRPr="00514941" w:rsidRDefault="00FF4E3D" w:rsidP="00E35C33">
            <w:pPr>
              <w:jc w:val="center"/>
              <w:rPr>
                <w:color w:val="000000"/>
                <w:sz w:val="18"/>
                <w:szCs w:val="18"/>
                <w:lang w:eastAsia="sl-SI"/>
              </w:rPr>
            </w:pPr>
          </w:p>
        </w:tc>
        <w:tc>
          <w:tcPr>
            <w:tcW w:w="391"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Vsi</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Neskladni</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 xml:space="preserve"> Neskladni parameter</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Ukrep za odpravo neskladja</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Vsi</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Neskladni</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hideMark/>
          </w:tcPr>
          <w:p w:rsidR="00FF4E3D" w:rsidRPr="004F536F" w:rsidRDefault="00FF4E3D" w:rsidP="00E35C33">
            <w:pPr>
              <w:jc w:val="right"/>
              <w:rPr>
                <w:color w:val="000000"/>
                <w:sz w:val="16"/>
                <w:szCs w:val="16"/>
                <w:lang w:eastAsia="sl-SI"/>
              </w:rPr>
            </w:pPr>
            <w:r w:rsidRPr="004F536F">
              <w:rPr>
                <w:color w:val="000000"/>
                <w:sz w:val="16"/>
                <w:szCs w:val="16"/>
                <w:lang w:eastAsia="sl-SI"/>
              </w:rPr>
              <w:t>1</w:t>
            </w:r>
          </w:p>
        </w:tc>
        <w:tc>
          <w:tcPr>
            <w:tcW w:w="1411" w:type="dxa"/>
            <w:vMerge w:val="restart"/>
            <w:tcBorders>
              <w:top w:val="nil"/>
              <w:left w:val="nil"/>
              <w:right w:val="single" w:sz="4" w:space="0" w:color="auto"/>
            </w:tcBorders>
            <w:shd w:val="clear" w:color="auto" w:fill="auto"/>
            <w:noWrap/>
            <w:vAlign w:val="bottom"/>
            <w:hideMark/>
          </w:tcPr>
          <w:p w:rsidR="00FF4E3D" w:rsidRPr="00514941" w:rsidRDefault="00FF4E3D" w:rsidP="00E35C33">
            <w:pPr>
              <w:rPr>
                <w:color w:val="000000"/>
                <w:sz w:val="18"/>
                <w:szCs w:val="18"/>
                <w:lang w:eastAsia="sl-SI"/>
              </w:rPr>
            </w:pPr>
            <w:r w:rsidRPr="00514941">
              <w:rPr>
                <w:color w:val="000000"/>
                <w:sz w:val="18"/>
                <w:szCs w:val="18"/>
                <w:lang w:eastAsia="sl-SI"/>
              </w:rPr>
              <w:t>LITIJA ŠMARTNO</w:t>
            </w:r>
          </w:p>
        </w:tc>
        <w:tc>
          <w:tcPr>
            <w:tcW w:w="990" w:type="dxa"/>
            <w:vMerge w:val="restart"/>
            <w:tcBorders>
              <w:top w:val="nil"/>
              <w:left w:val="nil"/>
              <w:right w:val="single" w:sz="4" w:space="0" w:color="auto"/>
            </w:tcBorders>
            <w:shd w:val="clear" w:color="auto" w:fill="auto"/>
            <w:noWrap/>
            <w:vAlign w:val="bottom"/>
            <w:hideMark/>
          </w:tcPr>
          <w:p w:rsidR="00FF4E3D" w:rsidRPr="00F93315" w:rsidRDefault="00FF4E3D" w:rsidP="00E35C33">
            <w:pPr>
              <w:jc w:val="right"/>
              <w:rPr>
                <w:sz w:val="18"/>
                <w:szCs w:val="18"/>
                <w:lang w:eastAsia="sl-SI"/>
              </w:rPr>
            </w:pPr>
            <w:r w:rsidRPr="00F93315">
              <w:rPr>
                <w:sz w:val="18"/>
                <w:szCs w:val="18"/>
                <w:lang w:eastAsia="sl-SI"/>
              </w:rPr>
              <w:t>1.237</w:t>
            </w:r>
          </w:p>
        </w:tc>
        <w:tc>
          <w:tcPr>
            <w:tcW w:w="1050" w:type="dxa"/>
            <w:vMerge w:val="restart"/>
            <w:tcBorders>
              <w:top w:val="nil"/>
              <w:left w:val="nil"/>
              <w:right w:val="single" w:sz="4" w:space="0" w:color="auto"/>
            </w:tcBorders>
            <w:shd w:val="clear" w:color="auto" w:fill="auto"/>
            <w:noWrap/>
            <w:vAlign w:val="bottom"/>
            <w:hideMark/>
          </w:tcPr>
          <w:p w:rsidR="00FF4E3D" w:rsidRPr="00F93315" w:rsidRDefault="00FF4E3D" w:rsidP="00E35C33">
            <w:pPr>
              <w:jc w:val="right"/>
              <w:rPr>
                <w:sz w:val="18"/>
                <w:szCs w:val="18"/>
                <w:lang w:eastAsia="sl-SI"/>
              </w:rPr>
            </w:pPr>
            <w:r w:rsidRPr="00F93315">
              <w:rPr>
                <w:sz w:val="18"/>
                <w:szCs w:val="18"/>
                <w:lang w:eastAsia="sl-SI"/>
              </w:rPr>
              <w:t>8.850</w:t>
            </w:r>
          </w:p>
        </w:tc>
        <w:tc>
          <w:tcPr>
            <w:tcW w:w="1060" w:type="dxa"/>
            <w:vMerge w:val="restart"/>
            <w:tcBorders>
              <w:top w:val="nil"/>
              <w:left w:val="nil"/>
              <w:right w:val="single" w:sz="4" w:space="0" w:color="auto"/>
            </w:tcBorders>
            <w:shd w:val="clear" w:color="auto" w:fill="auto"/>
            <w:noWrap/>
            <w:vAlign w:val="bottom"/>
            <w:hideMark/>
          </w:tcPr>
          <w:p w:rsidR="00FF4E3D" w:rsidRPr="00514941" w:rsidRDefault="00FF4E3D" w:rsidP="00E35C33">
            <w:pPr>
              <w:jc w:val="center"/>
              <w:rPr>
                <w:color w:val="000000"/>
                <w:sz w:val="18"/>
                <w:szCs w:val="18"/>
                <w:lang w:eastAsia="sl-SI"/>
              </w:rPr>
            </w:pPr>
            <w:r w:rsidRPr="00514941">
              <w:rPr>
                <w:color w:val="000000"/>
                <w:sz w:val="18"/>
                <w:szCs w:val="18"/>
                <w:lang w:eastAsia="sl-SI"/>
              </w:rPr>
              <w:t>plinski klor</w:t>
            </w: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137"/>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color w:val="000000"/>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9</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rPr>
                <w:color w:val="000000"/>
                <w:sz w:val="18"/>
                <w:szCs w:val="18"/>
                <w:lang w:eastAsia="sl-SI"/>
              </w:rPr>
            </w:pPr>
            <w:r>
              <w:rPr>
                <w:color w:val="000000"/>
                <w:sz w:val="18"/>
                <w:szCs w:val="18"/>
                <w:lang w:eastAsia="sl-SI"/>
              </w:rPr>
              <w:t xml:space="preserve">E-Coli </w:t>
            </w:r>
            <w:proofErr w:type="spellStart"/>
            <w:r w:rsidRPr="00514941">
              <w:rPr>
                <w:color w:val="000000"/>
                <w:sz w:val="18"/>
                <w:szCs w:val="18"/>
                <w:lang w:eastAsia="sl-SI"/>
              </w:rPr>
              <w:t>Kol.b</w:t>
            </w:r>
            <w:proofErr w:type="spellEnd"/>
            <w:r w:rsidRPr="00514941">
              <w:rPr>
                <w:color w:val="000000"/>
                <w:sz w:val="18"/>
                <w:szCs w:val="18"/>
                <w:lang w:eastAsia="sl-SI"/>
              </w:rPr>
              <w:t>. in Št.kol.37°C</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Spiranje internega omrežja</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5074A4" w:rsidTr="00B233BE">
        <w:trPr>
          <w:trHeight w:val="20"/>
        </w:trPr>
        <w:tc>
          <w:tcPr>
            <w:tcW w:w="474" w:type="dxa"/>
            <w:vMerge w:val="restart"/>
            <w:tcBorders>
              <w:top w:val="nil"/>
              <w:left w:val="single" w:sz="4" w:space="0" w:color="auto"/>
              <w:right w:val="single" w:sz="4" w:space="0" w:color="auto"/>
            </w:tcBorders>
            <w:shd w:val="clear" w:color="auto" w:fill="auto"/>
            <w:noWrap/>
            <w:vAlign w:val="bottom"/>
            <w:hideMark/>
          </w:tcPr>
          <w:p w:rsidR="00FF4E3D" w:rsidRPr="004F536F" w:rsidRDefault="00FF4E3D" w:rsidP="00E35C33">
            <w:pPr>
              <w:jc w:val="right"/>
              <w:rPr>
                <w:color w:val="000000"/>
                <w:sz w:val="16"/>
                <w:szCs w:val="16"/>
                <w:lang w:eastAsia="sl-SI"/>
              </w:rPr>
            </w:pPr>
            <w:r w:rsidRPr="004F536F">
              <w:rPr>
                <w:color w:val="000000"/>
                <w:sz w:val="16"/>
                <w:szCs w:val="16"/>
                <w:lang w:eastAsia="sl-SI"/>
              </w:rPr>
              <w:t>2</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color w:val="000000"/>
                <w:sz w:val="18"/>
                <w:szCs w:val="18"/>
                <w:lang w:eastAsia="sl-SI"/>
              </w:rPr>
            </w:pPr>
            <w:r w:rsidRPr="00514941">
              <w:rPr>
                <w:color w:val="000000"/>
                <w:sz w:val="18"/>
                <w:szCs w:val="18"/>
                <w:lang w:eastAsia="sl-SI"/>
              </w:rPr>
              <w:t>PRIMSKOVO</w:t>
            </w:r>
          </w:p>
        </w:tc>
        <w:tc>
          <w:tcPr>
            <w:tcW w:w="99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r w:rsidRPr="00F93315">
              <w:rPr>
                <w:sz w:val="18"/>
                <w:szCs w:val="18"/>
                <w:lang w:eastAsia="sl-SI"/>
              </w:rPr>
              <w:t>21</w:t>
            </w:r>
          </w:p>
        </w:tc>
        <w:tc>
          <w:tcPr>
            <w:tcW w:w="105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240</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lang w:eastAsia="sl-SI"/>
              </w:rPr>
            </w:pPr>
            <w:proofErr w:type="spellStart"/>
            <w:r w:rsidRPr="00514941">
              <w:rPr>
                <w:sz w:val="18"/>
                <w:szCs w:val="18"/>
                <w:lang w:eastAsia="sl-SI"/>
              </w:rPr>
              <w:t>NaOCl</w:t>
            </w:r>
            <w:proofErr w:type="spellEnd"/>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5074A4"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hideMark/>
          </w:tcPr>
          <w:p w:rsidR="00FF4E3D" w:rsidRPr="004F536F" w:rsidRDefault="00FF4E3D" w:rsidP="00E35C33">
            <w:pPr>
              <w:jc w:val="right"/>
              <w:rPr>
                <w:color w:val="000000"/>
                <w:sz w:val="16"/>
                <w:szCs w:val="16"/>
                <w:lang w:eastAsia="sl-SI"/>
              </w:rPr>
            </w:pPr>
            <w:r w:rsidRPr="004F536F">
              <w:rPr>
                <w:color w:val="000000"/>
                <w:sz w:val="16"/>
                <w:szCs w:val="16"/>
                <w:lang w:eastAsia="sl-SI"/>
              </w:rPr>
              <w:t>3</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color w:val="000000"/>
                <w:sz w:val="18"/>
                <w:szCs w:val="18"/>
                <w:lang w:eastAsia="sl-SI"/>
              </w:rPr>
            </w:pPr>
            <w:r w:rsidRPr="00514941">
              <w:rPr>
                <w:color w:val="000000"/>
                <w:sz w:val="18"/>
                <w:szCs w:val="18"/>
                <w:lang w:eastAsia="sl-SI"/>
              </w:rPr>
              <w:t>DOM TISJE - VINTARJEVEC</w:t>
            </w:r>
          </w:p>
        </w:tc>
        <w:tc>
          <w:tcPr>
            <w:tcW w:w="99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28</w:t>
            </w:r>
          </w:p>
        </w:tc>
        <w:tc>
          <w:tcPr>
            <w:tcW w:w="105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80+ Dom Tisje</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lang w:eastAsia="sl-SI"/>
              </w:rPr>
            </w:pPr>
            <w:proofErr w:type="spellStart"/>
            <w:r w:rsidRPr="00514941">
              <w:rPr>
                <w:sz w:val="18"/>
                <w:szCs w:val="18"/>
                <w:lang w:eastAsia="sl-SI"/>
              </w:rPr>
              <w:t>NaOCl</w:t>
            </w:r>
            <w:proofErr w:type="spellEnd"/>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color w:val="000000"/>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hideMark/>
          </w:tcPr>
          <w:p w:rsidR="00FF4E3D" w:rsidRPr="004F536F" w:rsidRDefault="00FF4E3D" w:rsidP="00E35C33">
            <w:pPr>
              <w:jc w:val="right"/>
              <w:rPr>
                <w:color w:val="000000"/>
                <w:sz w:val="16"/>
                <w:szCs w:val="16"/>
                <w:lang w:eastAsia="sl-SI"/>
              </w:rPr>
            </w:pPr>
            <w:r w:rsidRPr="004F536F">
              <w:rPr>
                <w:color w:val="000000"/>
                <w:sz w:val="16"/>
                <w:szCs w:val="16"/>
                <w:lang w:eastAsia="sl-SI"/>
              </w:rPr>
              <w:t>4</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color w:val="000000"/>
                <w:sz w:val="18"/>
                <w:szCs w:val="18"/>
                <w:lang w:eastAsia="sl-SI"/>
              </w:rPr>
            </w:pPr>
            <w:r w:rsidRPr="00514941">
              <w:rPr>
                <w:color w:val="000000"/>
                <w:sz w:val="18"/>
                <w:szCs w:val="18"/>
                <w:lang w:eastAsia="sl-SI"/>
              </w:rPr>
              <w:t xml:space="preserve">VELIKA KOSTREVNICA </w:t>
            </w:r>
          </w:p>
        </w:tc>
        <w:tc>
          <w:tcPr>
            <w:tcW w:w="99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r w:rsidRPr="00F93315">
              <w:rPr>
                <w:sz w:val="18"/>
                <w:szCs w:val="18"/>
                <w:lang w:eastAsia="sl-SI"/>
              </w:rPr>
              <w:t>96</w:t>
            </w:r>
          </w:p>
        </w:tc>
        <w:tc>
          <w:tcPr>
            <w:tcW w:w="105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5</w:t>
            </w:r>
            <w:r>
              <w:rPr>
                <w:sz w:val="18"/>
                <w:szCs w:val="18"/>
                <w:lang w:eastAsia="sl-SI"/>
              </w:rPr>
              <w:t>4</w:t>
            </w:r>
            <w:r w:rsidRPr="00514941">
              <w:rPr>
                <w:sz w:val="18"/>
                <w:szCs w:val="18"/>
                <w:lang w:eastAsia="sl-SI"/>
              </w:rPr>
              <w:t>0</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lang w:eastAsia="sl-SI"/>
              </w:rPr>
            </w:pPr>
            <w:proofErr w:type="spellStart"/>
            <w:r w:rsidRPr="00514941">
              <w:rPr>
                <w:sz w:val="18"/>
                <w:szCs w:val="18"/>
                <w:lang w:eastAsia="sl-SI"/>
              </w:rPr>
              <w:t>NaOCl</w:t>
            </w:r>
            <w:proofErr w:type="spellEnd"/>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7</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5</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hideMark/>
          </w:tcPr>
          <w:p w:rsidR="00FF4E3D" w:rsidRPr="004F536F" w:rsidRDefault="00FF4E3D" w:rsidP="00E35C33">
            <w:pPr>
              <w:jc w:val="right"/>
              <w:rPr>
                <w:color w:val="000000"/>
                <w:sz w:val="16"/>
                <w:szCs w:val="16"/>
                <w:lang w:eastAsia="sl-SI"/>
              </w:rPr>
            </w:pPr>
            <w:r w:rsidRPr="004F536F">
              <w:rPr>
                <w:color w:val="000000"/>
                <w:sz w:val="16"/>
                <w:szCs w:val="16"/>
                <w:lang w:eastAsia="sl-SI"/>
              </w:rPr>
              <w:t>5</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color w:val="000000"/>
                <w:sz w:val="18"/>
                <w:szCs w:val="18"/>
                <w:lang w:eastAsia="sl-SI"/>
              </w:rPr>
            </w:pPr>
            <w:r w:rsidRPr="00514941">
              <w:rPr>
                <w:color w:val="000000"/>
                <w:sz w:val="18"/>
                <w:szCs w:val="18"/>
                <w:lang w:eastAsia="sl-SI"/>
              </w:rPr>
              <w:t>GRADI</w:t>
            </w:r>
            <w:r>
              <w:rPr>
                <w:color w:val="000000"/>
                <w:sz w:val="18"/>
                <w:szCs w:val="18"/>
                <w:lang w:eastAsia="sl-SI"/>
              </w:rPr>
              <w:t>Š</w:t>
            </w:r>
            <w:r w:rsidRPr="00514941">
              <w:rPr>
                <w:color w:val="000000"/>
                <w:sz w:val="18"/>
                <w:szCs w:val="18"/>
                <w:lang w:eastAsia="sl-SI"/>
              </w:rPr>
              <w:t>KE LAZE</w:t>
            </w:r>
          </w:p>
        </w:tc>
        <w:tc>
          <w:tcPr>
            <w:tcW w:w="99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25</w:t>
            </w:r>
          </w:p>
        </w:tc>
        <w:tc>
          <w:tcPr>
            <w:tcW w:w="105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235</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lang w:eastAsia="sl-SI"/>
              </w:rPr>
            </w:pPr>
            <w:r w:rsidRPr="00514941">
              <w:rPr>
                <w:sz w:val="18"/>
                <w:szCs w:val="18"/>
                <w:lang w:eastAsia="sl-SI"/>
              </w:rPr>
              <w:t>Ni doziranja</w:t>
            </w: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 xml:space="preserve">1 </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proofErr w:type="spellStart"/>
            <w:r w:rsidRPr="00514941">
              <w:rPr>
                <w:sz w:val="18"/>
                <w:szCs w:val="18"/>
                <w:lang w:eastAsia="sl-SI"/>
              </w:rPr>
              <w:t>Enterokoki</w:t>
            </w:r>
            <w:proofErr w:type="spellEnd"/>
            <w:r w:rsidRPr="00514941">
              <w:rPr>
                <w:sz w:val="18"/>
                <w:szCs w:val="18"/>
                <w:lang w:eastAsia="sl-SI"/>
              </w:rPr>
              <w:t xml:space="preserve">, </w:t>
            </w:r>
            <w:proofErr w:type="spellStart"/>
            <w:r w:rsidRPr="00514941">
              <w:rPr>
                <w:sz w:val="18"/>
                <w:szCs w:val="18"/>
                <w:lang w:eastAsia="sl-SI"/>
              </w:rPr>
              <w:t>Kol.b</w:t>
            </w:r>
            <w:proofErr w:type="spellEnd"/>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Prekuhavanje od 1.7.2019 do 5.9.2019</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1</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Koliformne bakterije</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Izpiranje cevovodov</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hideMark/>
          </w:tcPr>
          <w:p w:rsidR="00FF4E3D" w:rsidRPr="004F536F" w:rsidRDefault="00FF4E3D" w:rsidP="00E35C33">
            <w:pPr>
              <w:jc w:val="right"/>
              <w:rPr>
                <w:color w:val="000000"/>
                <w:sz w:val="16"/>
                <w:szCs w:val="16"/>
                <w:lang w:eastAsia="sl-SI"/>
              </w:rPr>
            </w:pPr>
            <w:r w:rsidRPr="004F536F">
              <w:rPr>
                <w:color w:val="000000"/>
                <w:sz w:val="16"/>
                <w:szCs w:val="16"/>
                <w:lang w:eastAsia="sl-SI"/>
              </w:rPr>
              <w:t>6</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color w:val="000000"/>
                <w:sz w:val="18"/>
                <w:szCs w:val="18"/>
                <w:lang w:eastAsia="sl-SI"/>
              </w:rPr>
            </w:pPr>
            <w:r w:rsidRPr="00514941">
              <w:rPr>
                <w:color w:val="000000"/>
                <w:sz w:val="18"/>
                <w:szCs w:val="18"/>
                <w:lang w:eastAsia="sl-SI"/>
              </w:rPr>
              <w:t>RAČICA - ŠTANGA</w:t>
            </w:r>
          </w:p>
        </w:tc>
        <w:tc>
          <w:tcPr>
            <w:tcW w:w="99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r w:rsidRPr="00F93315">
              <w:rPr>
                <w:sz w:val="18"/>
                <w:szCs w:val="18"/>
                <w:lang w:eastAsia="sl-SI"/>
              </w:rPr>
              <w:t>19</w:t>
            </w:r>
          </w:p>
        </w:tc>
        <w:tc>
          <w:tcPr>
            <w:tcW w:w="105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170</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lang w:eastAsia="sl-SI"/>
              </w:rPr>
            </w:pPr>
            <w:proofErr w:type="spellStart"/>
            <w:r w:rsidRPr="00514941">
              <w:rPr>
                <w:sz w:val="18"/>
                <w:szCs w:val="18"/>
                <w:lang w:eastAsia="sl-SI"/>
              </w:rPr>
              <w:t>NaOCl</w:t>
            </w:r>
            <w:proofErr w:type="spellEnd"/>
            <w:r w:rsidRPr="00514941">
              <w:rPr>
                <w:sz w:val="18"/>
                <w:szCs w:val="18"/>
                <w:lang w:eastAsia="sl-SI"/>
              </w:rPr>
              <w:t xml:space="preserve"> od oktobra 2019 dalje</w:t>
            </w: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13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7</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Enterokoki, Koliformen bakterije</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Prekuhavanje od 9.9.2019 do 9.12.2019</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r w:rsidRPr="004F536F">
              <w:rPr>
                <w:color w:val="000000"/>
                <w:sz w:val="16"/>
                <w:szCs w:val="16"/>
                <w:lang w:eastAsia="sl-SI"/>
              </w:rPr>
              <w:t>7</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color w:val="000000"/>
                <w:sz w:val="18"/>
                <w:szCs w:val="18"/>
                <w:lang w:eastAsia="sl-SI"/>
              </w:rPr>
            </w:pPr>
            <w:r w:rsidRPr="00514941">
              <w:rPr>
                <w:color w:val="000000"/>
                <w:sz w:val="18"/>
                <w:szCs w:val="18"/>
                <w:lang w:eastAsia="sl-SI"/>
              </w:rPr>
              <w:t>LESKOVICA - VRATA</w:t>
            </w:r>
          </w:p>
        </w:tc>
        <w:tc>
          <w:tcPr>
            <w:tcW w:w="99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16</w:t>
            </w:r>
          </w:p>
        </w:tc>
        <w:tc>
          <w:tcPr>
            <w:tcW w:w="105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106</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rPr>
            </w:pPr>
            <w:proofErr w:type="spellStart"/>
            <w:r w:rsidRPr="00514941">
              <w:rPr>
                <w:sz w:val="18"/>
                <w:szCs w:val="18"/>
                <w:lang w:eastAsia="sl-SI"/>
              </w:rPr>
              <w:t>NaOCl</w:t>
            </w:r>
            <w:proofErr w:type="spellEnd"/>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3</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0</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r w:rsidRPr="004F536F">
              <w:rPr>
                <w:color w:val="000000"/>
                <w:sz w:val="16"/>
                <w:szCs w:val="16"/>
                <w:lang w:eastAsia="sl-SI"/>
              </w:rPr>
              <w:t>8</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VINTARJEVEC - vas</w:t>
            </w:r>
          </w:p>
        </w:tc>
        <w:tc>
          <w:tcPr>
            <w:tcW w:w="99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r w:rsidRPr="00F93315">
              <w:rPr>
                <w:sz w:val="18"/>
                <w:szCs w:val="18"/>
                <w:lang w:eastAsia="sl-SI"/>
              </w:rPr>
              <w:t>18</w:t>
            </w:r>
          </w:p>
        </w:tc>
        <w:tc>
          <w:tcPr>
            <w:tcW w:w="1050" w:type="dxa"/>
            <w:vMerge w:val="restart"/>
            <w:tcBorders>
              <w:top w:val="nil"/>
              <w:left w:val="nil"/>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150</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rPr>
            </w:pPr>
            <w:proofErr w:type="spellStart"/>
            <w:r w:rsidRPr="00514941">
              <w:rPr>
                <w:sz w:val="18"/>
                <w:szCs w:val="18"/>
                <w:lang w:eastAsia="sl-SI"/>
              </w:rPr>
              <w:t>NaOCl</w:t>
            </w:r>
            <w:proofErr w:type="spellEnd"/>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6</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3</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 xml:space="preserve">E-Coli, </w:t>
            </w:r>
            <w:proofErr w:type="spellStart"/>
            <w:r w:rsidRPr="00514941">
              <w:rPr>
                <w:sz w:val="18"/>
                <w:szCs w:val="18"/>
                <w:lang w:eastAsia="sl-SI"/>
              </w:rPr>
              <w:t>Kol.b</w:t>
            </w:r>
            <w:proofErr w:type="spellEnd"/>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 xml:space="preserve">Prekuhavanje od 23.8.2019 do 28.10.2019 </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center"/>
              <w:rPr>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sz w:val="18"/>
                <w:szCs w:val="18"/>
                <w:lang w:eastAsia="sl-SI"/>
              </w:rPr>
            </w:pPr>
            <w:r w:rsidRPr="00514941">
              <w:rPr>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val="restart"/>
            <w:tcBorders>
              <w:top w:val="nil"/>
              <w:left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r w:rsidRPr="004F536F">
              <w:rPr>
                <w:color w:val="000000"/>
                <w:sz w:val="16"/>
                <w:szCs w:val="16"/>
                <w:lang w:eastAsia="sl-SI"/>
              </w:rPr>
              <w:t>9</w:t>
            </w:r>
          </w:p>
        </w:tc>
        <w:tc>
          <w:tcPr>
            <w:tcW w:w="1411" w:type="dxa"/>
            <w:vMerge w:val="restart"/>
            <w:tcBorders>
              <w:top w:val="nil"/>
              <w:left w:val="nil"/>
              <w:right w:val="single" w:sz="4" w:space="0" w:color="auto"/>
            </w:tcBorders>
            <w:shd w:val="clear" w:color="auto" w:fill="auto"/>
            <w:noWrap/>
            <w:vAlign w:val="bottom"/>
          </w:tcPr>
          <w:p w:rsidR="00FF4E3D" w:rsidRPr="00514941" w:rsidRDefault="00FF4E3D" w:rsidP="00E35C33">
            <w:pPr>
              <w:rPr>
                <w:color w:val="000000"/>
                <w:sz w:val="18"/>
                <w:szCs w:val="18"/>
                <w:lang w:eastAsia="sl-SI"/>
              </w:rPr>
            </w:pPr>
            <w:r w:rsidRPr="00514941">
              <w:rPr>
                <w:color w:val="000000"/>
                <w:sz w:val="18"/>
                <w:szCs w:val="18"/>
                <w:lang w:eastAsia="sl-SI"/>
              </w:rPr>
              <w:t>GRILOVEC</w:t>
            </w:r>
          </w:p>
        </w:tc>
        <w:tc>
          <w:tcPr>
            <w:tcW w:w="99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7</w:t>
            </w:r>
          </w:p>
        </w:tc>
        <w:tc>
          <w:tcPr>
            <w:tcW w:w="1050" w:type="dxa"/>
            <w:vMerge w:val="restart"/>
            <w:tcBorders>
              <w:top w:val="nil"/>
              <w:left w:val="nil"/>
              <w:right w:val="single" w:sz="4" w:space="0" w:color="auto"/>
            </w:tcBorders>
            <w:shd w:val="clear" w:color="auto" w:fill="auto"/>
            <w:noWrap/>
            <w:vAlign w:val="bottom"/>
          </w:tcPr>
          <w:p w:rsidR="00FF4E3D" w:rsidRPr="00F93315" w:rsidRDefault="00FF4E3D" w:rsidP="00E35C33">
            <w:pPr>
              <w:jc w:val="right"/>
              <w:rPr>
                <w:sz w:val="18"/>
                <w:szCs w:val="18"/>
                <w:lang w:eastAsia="sl-SI"/>
              </w:rPr>
            </w:pPr>
            <w:r w:rsidRPr="00F93315">
              <w:rPr>
                <w:sz w:val="18"/>
                <w:szCs w:val="18"/>
                <w:lang w:eastAsia="sl-SI"/>
              </w:rPr>
              <w:t>40</w:t>
            </w:r>
          </w:p>
        </w:tc>
        <w:tc>
          <w:tcPr>
            <w:tcW w:w="1060" w:type="dxa"/>
            <w:vMerge w:val="restart"/>
            <w:tcBorders>
              <w:top w:val="nil"/>
              <w:left w:val="nil"/>
              <w:right w:val="single" w:sz="4" w:space="0" w:color="auto"/>
            </w:tcBorders>
            <w:shd w:val="clear" w:color="auto" w:fill="auto"/>
            <w:noWrap/>
            <w:vAlign w:val="bottom"/>
          </w:tcPr>
          <w:p w:rsidR="00FF4E3D" w:rsidRPr="00514941" w:rsidRDefault="00FF4E3D" w:rsidP="00E35C33">
            <w:pPr>
              <w:jc w:val="center"/>
              <w:rPr>
                <w:sz w:val="18"/>
                <w:szCs w:val="18"/>
              </w:rPr>
            </w:pPr>
            <w:proofErr w:type="spellStart"/>
            <w:r w:rsidRPr="00514941">
              <w:rPr>
                <w:sz w:val="18"/>
                <w:szCs w:val="18"/>
                <w:lang w:eastAsia="sl-SI"/>
              </w:rPr>
              <w:t>NaOCl</w:t>
            </w:r>
            <w:proofErr w:type="spellEnd"/>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Notranji</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2</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tcPr>
          <w:p w:rsidR="00FF4E3D" w:rsidRPr="00514941" w:rsidRDefault="00FF4E3D" w:rsidP="00E35C33">
            <w:pPr>
              <w:jc w:val="center"/>
              <w:rPr>
                <w:color w:val="000000"/>
                <w:sz w:val="18"/>
                <w:szCs w:val="18"/>
                <w:lang w:eastAsia="sl-SI"/>
              </w:rPr>
            </w:pPr>
            <w:r w:rsidRPr="00514941">
              <w:rPr>
                <w:color w:val="000000"/>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1</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r w:rsidR="00FF4E3D" w:rsidRPr="00DA4BB1" w:rsidTr="00B233BE">
        <w:trPr>
          <w:trHeight w:val="20"/>
        </w:trPr>
        <w:tc>
          <w:tcPr>
            <w:tcW w:w="474" w:type="dxa"/>
            <w:vMerge/>
            <w:tcBorders>
              <w:left w:val="single" w:sz="4" w:space="0" w:color="auto"/>
              <w:bottom w:val="single" w:sz="4" w:space="0" w:color="auto"/>
              <w:right w:val="single" w:sz="4" w:space="0" w:color="auto"/>
            </w:tcBorders>
            <w:shd w:val="clear" w:color="auto" w:fill="auto"/>
            <w:noWrap/>
            <w:vAlign w:val="bottom"/>
          </w:tcPr>
          <w:p w:rsidR="00FF4E3D" w:rsidRPr="004F536F" w:rsidRDefault="00FF4E3D" w:rsidP="00E35C33">
            <w:pPr>
              <w:jc w:val="right"/>
              <w:rPr>
                <w:color w:val="000000"/>
                <w:sz w:val="16"/>
                <w:szCs w:val="16"/>
                <w:lang w:eastAsia="sl-SI"/>
              </w:rPr>
            </w:pPr>
          </w:p>
        </w:tc>
        <w:tc>
          <w:tcPr>
            <w:tcW w:w="1411"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color w:val="000000"/>
                <w:sz w:val="18"/>
                <w:szCs w:val="18"/>
                <w:lang w:eastAsia="sl-SI"/>
              </w:rPr>
            </w:pPr>
          </w:p>
        </w:tc>
        <w:tc>
          <w:tcPr>
            <w:tcW w:w="99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color w:val="FF0000"/>
                <w:sz w:val="18"/>
                <w:szCs w:val="18"/>
                <w:lang w:eastAsia="sl-SI"/>
              </w:rPr>
            </w:pPr>
          </w:p>
        </w:tc>
        <w:tc>
          <w:tcPr>
            <w:tcW w:w="105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p>
        </w:tc>
        <w:tc>
          <w:tcPr>
            <w:tcW w:w="1060" w:type="dxa"/>
            <w:vMerge/>
            <w:tcBorders>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p>
        </w:tc>
        <w:tc>
          <w:tcPr>
            <w:tcW w:w="96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rPr>
                <w:sz w:val="18"/>
                <w:szCs w:val="18"/>
                <w:lang w:eastAsia="sl-SI"/>
              </w:rPr>
            </w:pPr>
            <w:r w:rsidRPr="00514941">
              <w:rPr>
                <w:sz w:val="18"/>
                <w:szCs w:val="18"/>
                <w:lang w:eastAsia="sl-SI"/>
              </w:rPr>
              <w:t>Monitoring</w:t>
            </w:r>
          </w:p>
        </w:tc>
        <w:tc>
          <w:tcPr>
            <w:tcW w:w="391" w:type="dxa"/>
            <w:tcBorders>
              <w:top w:val="single" w:sz="4" w:space="0" w:color="auto"/>
              <w:left w:val="nil"/>
              <w:bottom w:val="single" w:sz="4" w:space="0" w:color="auto"/>
              <w:right w:val="single" w:sz="4" w:space="0" w:color="auto"/>
            </w:tcBorders>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4E3D" w:rsidRPr="00514941" w:rsidRDefault="00FF4E3D" w:rsidP="00E35C33">
            <w:pPr>
              <w:jc w:val="right"/>
              <w:rPr>
                <w:sz w:val="18"/>
                <w:szCs w:val="18"/>
                <w:lang w:eastAsia="sl-SI"/>
              </w:rPr>
            </w:pPr>
            <w:r w:rsidRPr="00514941">
              <w:rPr>
                <w:sz w:val="18"/>
                <w:szCs w:val="18"/>
                <w:lang w:eastAsia="sl-SI"/>
              </w:rPr>
              <w:t>0</w:t>
            </w:r>
          </w:p>
        </w:tc>
        <w:tc>
          <w:tcPr>
            <w:tcW w:w="985" w:type="dxa"/>
            <w:tcBorders>
              <w:top w:val="single" w:sz="4" w:space="0" w:color="auto"/>
              <w:left w:val="nil"/>
              <w:bottom w:val="single" w:sz="4" w:space="0" w:color="auto"/>
              <w:right w:val="single" w:sz="4" w:space="0" w:color="auto"/>
            </w:tcBorders>
            <w:shd w:val="clear" w:color="auto" w:fill="auto"/>
          </w:tcPr>
          <w:p w:rsidR="00FF4E3D" w:rsidRPr="00514941" w:rsidRDefault="00FF4E3D" w:rsidP="00E35C33">
            <w:pPr>
              <w:jc w:val="center"/>
              <w:rPr>
                <w:color w:val="000000"/>
                <w:sz w:val="18"/>
                <w:szCs w:val="18"/>
                <w:lang w:eastAsia="sl-SI"/>
              </w:rPr>
            </w:pPr>
            <w:r w:rsidRPr="00514941">
              <w:rPr>
                <w:color w:val="000000"/>
                <w:sz w:val="18"/>
                <w:szCs w:val="18"/>
                <w:lang w:eastAsia="sl-SI"/>
              </w:rPr>
              <w:t>-</w:t>
            </w:r>
          </w:p>
        </w:tc>
        <w:tc>
          <w:tcPr>
            <w:tcW w:w="1120" w:type="dxa"/>
            <w:tcBorders>
              <w:top w:val="single" w:sz="4" w:space="0" w:color="auto"/>
              <w:left w:val="nil"/>
              <w:bottom w:val="single" w:sz="4" w:space="0" w:color="auto"/>
              <w:right w:val="single" w:sz="4" w:space="0" w:color="auto"/>
            </w:tcBorders>
            <w:shd w:val="clear" w:color="auto" w:fill="auto"/>
            <w:vAlign w:val="bottom"/>
          </w:tcPr>
          <w:p w:rsidR="00FF4E3D" w:rsidRPr="00514941" w:rsidRDefault="00FF4E3D" w:rsidP="00E35C33">
            <w:pPr>
              <w:jc w:val="center"/>
              <w:rPr>
                <w:color w:val="000000"/>
                <w:sz w:val="18"/>
                <w:szCs w:val="18"/>
                <w:lang w:eastAsia="sl-SI"/>
              </w:rPr>
            </w:pPr>
            <w:r w:rsidRPr="00514941">
              <w:rPr>
                <w:color w:val="000000"/>
                <w:sz w:val="18"/>
                <w:szCs w:val="18"/>
                <w:lang w:eastAsia="sl-SI"/>
              </w:rPr>
              <w:t>-</w:t>
            </w:r>
          </w:p>
        </w:tc>
        <w:tc>
          <w:tcPr>
            <w:tcW w:w="391"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c>
          <w:tcPr>
            <w:tcW w:w="870" w:type="dxa"/>
            <w:tcBorders>
              <w:top w:val="nil"/>
              <w:left w:val="nil"/>
              <w:bottom w:val="single" w:sz="4" w:space="0" w:color="auto"/>
              <w:right w:val="single" w:sz="4" w:space="0" w:color="auto"/>
            </w:tcBorders>
            <w:shd w:val="clear" w:color="auto" w:fill="auto"/>
            <w:noWrap/>
            <w:vAlign w:val="bottom"/>
          </w:tcPr>
          <w:p w:rsidR="00FF4E3D" w:rsidRPr="00514941" w:rsidRDefault="00FF4E3D" w:rsidP="00E35C33">
            <w:pPr>
              <w:jc w:val="right"/>
              <w:rPr>
                <w:sz w:val="18"/>
                <w:szCs w:val="18"/>
                <w:lang w:eastAsia="sl-SI"/>
              </w:rPr>
            </w:pPr>
            <w:r w:rsidRPr="00514941">
              <w:rPr>
                <w:sz w:val="18"/>
                <w:szCs w:val="18"/>
                <w:lang w:eastAsia="sl-SI"/>
              </w:rPr>
              <w:t>0</w:t>
            </w:r>
          </w:p>
        </w:tc>
      </w:tr>
    </w:tbl>
    <w:p w:rsidR="00B233BE" w:rsidRPr="00573B30" w:rsidRDefault="00B233BE" w:rsidP="00B233BE">
      <w:pPr>
        <w:rPr>
          <w:sz w:val="24"/>
          <w:szCs w:val="24"/>
        </w:rPr>
      </w:pPr>
    </w:p>
    <w:p w:rsidR="00E35C33" w:rsidRDefault="00B233BE" w:rsidP="00B233BE">
      <w:pPr>
        <w:jc w:val="both"/>
        <w:rPr>
          <w:sz w:val="18"/>
          <w:szCs w:val="18"/>
        </w:rPr>
      </w:pPr>
      <w:r w:rsidRPr="00F67DDA">
        <w:rPr>
          <w:sz w:val="18"/>
          <w:szCs w:val="18"/>
        </w:rPr>
        <w:t xml:space="preserve">Legenda: </w:t>
      </w:r>
      <w:proofErr w:type="spellStart"/>
      <w:r w:rsidRPr="00F67DDA">
        <w:rPr>
          <w:sz w:val="18"/>
          <w:szCs w:val="18"/>
        </w:rPr>
        <w:t>NaOCl</w:t>
      </w:r>
      <w:proofErr w:type="spellEnd"/>
      <w:r w:rsidRPr="00F67DDA">
        <w:rPr>
          <w:sz w:val="18"/>
          <w:szCs w:val="18"/>
        </w:rPr>
        <w:t xml:space="preserve"> – natrijev hipoklorit, </w:t>
      </w:r>
      <w:proofErr w:type="spellStart"/>
      <w:r w:rsidRPr="00F67DDA">
        <w:rPr>
          <w:sz w:val="18"/>
          <w:szCs w:val="18"/>
        </w:rPr>
        <w:t>Kol.b</w:t>
      </w:r>
      <w:proofErr w:type="spellEnd"/>
      <w:r w:rsidRPr="00F67DDA">
        <w:rPr>
          <w:sz w:val="18"/>
          <w:szCs w:val="18"/>
        </w:rPr>
        <w:t>. – koliformne bakterije, Št.kol. – število kolonij pri 37°C</w:t>
      </w:r>
    </w:p>
    <w:p w:rsidR="008A5351" w:rsidRDefault="008A5351" w:rsidP="00B233BE">
      <w:pPr>
        <w:jc w:val="both"/>
        <w:rPr>
          <w:sz w:val="24"/>
          <w:szCs w:val="24"/>
        </w:rPr>
      </w:pPr>
    </w:p>
    <w:p w:rsidR="008E79D3" w:rsidRDefault="008E79D3" w:rsidP="008E79D3">
      <w:pPr>
        <w:rPr>
          <w:sz w:val="24"/>
          <w:szCs w:val="24"/>
        </w:rPr>
      </w:pPr>
    </w:p>
    <w:p w:rsidR="008E79D3" w:rsidRDefault="008E79D3" w:rsidP="008E79D3">
      <w:pPr>
        <w:rPr>
          <w:sz w:val="24"/>
          <w:szCs w:val="24"/>
        </w:rPr>
      </w:pPr>
    </w:p>
    <w:p w:rsidR="00E35C33" w:rsidRDefault="00E35C33" w:rsidP="008E79D3">
      <w:pPr>
        <w:rPr>
          <w:sz w:val="24"/>
          <w:szCs w:val="24"/>
        </w:rPr>
      </w:pPr>
      <w:r>
        <w:rPr>
          <w:noProof/>
          <w:lang w:eastAsia="sl-SI"/>
        </w:rPr>
        <w:drawing>
          <wp:inline distT="0" distB="0" distL="0" distR="0" wp14:anchorId="2DB1ED7C" wp14:editId="1DF06E43">
            <wp:extent cx="5501030" cy="2827574"/>
            <wp:effectExtent l="0" t="0" r="0" b="0"/>
            <wp:docPr id="4" name="Grafikon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35C33" w:rsidRDefault="00E35C33" w:rsidP="00E35C33">
      <w:pPr>
        <w:jc w:val="both"/>
        <w:rPr>
          <w:sz w:val="24"/>
          <w:szCs w:val="24"/>
        </w:rPr>
      </w:pPr>
      <w:r w:rsidRPr="008C26D1">
        <w:rPr>
          <w:sz w:val="24"/>
          <w:szCs w:val="24"/>
        </w:rPr>
        <w:t>Na sistemu oskrbe s pitno vodo Litija- Šma</w:t>
      </w:r>
      <w:r>
        <w:rPr>
          <w:sz w:val="24"/>
          <w:szCs w:val="24"/>
        </w:rPr>
        <w:t>r</w:t>
      </w:r>
      <w:r w:rsidRPr="008C26D1">
        <w:rPr>
          <w:sz w:val="24"/>
          <w:szCs w:val="24"/>
        </w:rPr>
        <w:t>tno</w:t>
      </w:r>
      <w:r>
        <w:rPr>
          <w:sz w:val="24"/>
          <w:szCs w:val="24"/>
        </w:rPr>
        <w:t xml:space="preserve"> je en vzorec pitne vode, od dveh odvzetih na isti dan,  v okviru monitoringa izkazoval prisotnost E-Coli (1CFU/100ml). Ker na sistemu upravljavec ni zaznal nikakršnih posebnosti je bilo izdano obvestilo o omejeni uporabi pitne vode uporabniku na tem naslovu. Nemudoma je bilo izvedeno kontrolno vzorčenje in vsi preiskani vzorci pitne vode so izkazovali skladnost.</w:t>
      </w:r>
    </w:p>
    <w:p w:rsidR="00E35C33" w:rsidRDefault="00E35C33" w:rsidP="00E35C33">
      <w:pPr>
        <w:jc w:val="both"/>
        <w:rPr>
          <w:sz w:val="24"/>
          <w:szCs w:val="24"/>
        </w:rPr>
      </w:pPr>
    </w:p>
    <w:p w:rsidR="00573B30" w:rsidRDefault="00573B30" w:rsidP="00E35C33">
      <w:pPr>
        <w:jc w:val="both"/>
        <w:rPr>
          <w:sz w:val="24"/>
          <w:szCs w:val="24"/>
        </w:rPr>
      </w:pPr>
    </w:p>
    <w:p w:rsidR="00236CB9" w:rsidRDefault="00236CB9" w:rsidP="00236CB9">
      <w:pPr>
        <w:jc w:val="both"/>
        <w:rPr>
          <w:sz w:val="24"/>
          <w:szCs w:val="24"/>
        </w:rPr>
      </w:pPr>
      <w:r w:rsidRPr="00E728C3">
        <w:rPr>
          <w:sz w:val="24"/>
          <w:szCs w:val="24"/>
        </w:rPr>
        <w:t>Na</w:t>
      </w:r>
      <w:r>
        <w:rPr>
          <w:sz w:val="24"/>
          <w:szCs w:val="24"/>
        </w:rPr>
        <w:t xml:space="preserve"> sistemu oskrbe s pitno vodo Gradiške Laze je bil uveden kratkotrajni ukrep prekuhavanja pitne vode zaradi prisotnosti </w:t>
      </w:r>
      <w:proofErr w:type="spellStart"/>
      <w:r>
        <w:rPr>
          <w:sz w:val="24"/>
          <w:szCs w:val="24"/>
        </w:rPr>
        <w:t>Enterokokov</w:t>
      </w:r>
      <w:proofErr w:type="spellEnd"/>
      <w:r>
        <w:rPr>
          <w:sz w:val="24"/>
          <w:szCs w:val="24"/>
        </w:rPr>
        <w:t xml:space="preserve"> na enem od odjemnih mest. Po izvedenih ukrepih so odvzeti vzorci vode izkazovali skladnost s Pravilnikom o pitni vodi</w:t>
      </w:r>
      <w:r w:rsidR="00573B30">
        <w:rPr>
          <w:sz w:val="24"/>
          <w:szCs w:val="24"/>
        </w:rPr>
        <w:t xml:space="preserve"> in ukrep prekuhavanje je bil preklican</w:t>
      </w:r>
      <w:r>
        <w:rPr>
          <w:sz w:val="24"/>
          <w:szCs w:val="24"/>
        </w:rPr>
        <w:t>.</w:t>
      </w:r>
    </w:p>
    <w:p w:rsidR="00236CB9" w:rsidRDefault="00236CB9" w:rsidP="00E35C33">
      <w:pPr>
        <w:jc w:val="both"/>
        <w:rPr>
          <w:sz w:val="24"/>
          <w:szCs w:val="24"/>
        </w:rPr>
      </w:pPr>
    </w:p>
    <w:p w:rsidR="0066200F" w:rsidRDefault="00E728C3" w:rsidP="00D170CC">
      <w:pPr>
        <w:jc w:val="both"/>
        <w:rPr>
          <w:sz w:val="24"/>
          <w:szCs w:val="24"/>
        </w:rPr>
      </w:pPr>
      <w:r>
        <w:rPr>
          <w:sz w:val="24"/>
          <w:szCs w:val="24"/>
        </w:rPr>
        <w:t>Na sistemu oskrbe s pitno vodo Vintarjevec – vas je bil tudi uveden kratkotrajni ukrep prekuhavanja pitne vode pred uporabo za prehranske namene. Zaradi izpada dezinfekcije pitne vode so odvzeti vzorci pitne vode izkazo</w:t>
      </w:r>
      <w:r w:rsidR="0066200F">
        <w:rPr>
          <w:sz w:val="24"/>
          <w:szCs w:val="24"/>
        </w:rPr>
        <w:t>v</w:t>
      </w:r>
      <w:r>
        <w:rPr>
          <w:sz w:val="24"/>
          <w:szCs w:val="24"/>
        </w:rPr>
        <w:t>ali prisotnost E-Coli</w:t>
      </w:r>
      <w:r w:rsidR="0066200F">
        <w:rPr>
          <w:sz w:val="24"/>
          <w:szCs w:val="24"/>
        </w:rPr>
        <w:t xml:space="preserve"> </w:t>
      </w:r>
      <w:r>
        <w:rPr>
          <w:sz w:val="24"/>
          <w:szCs w:val="24"/>
        </w:rPr>
        <w:t xml:space="preserve">in </w:t>
      </w:r>
      <w:proofErr w:type="spellStart"/>
      <w:r>
        <w:rPr>
          <w:sz w:val="24"/>
          <w:szCs w:val="24"/>
        </w:rPr>
        <w:t>Enteroke</w:t>
      </w:r>
      <w:proofErr w:type="spellEnd"/>
      <w:r w:rsidR="0066200F">
        <w:rPr>
          <w:sz w:val="24"/>
          <w:szCs w:val="24"/>
        </w:rPr>
        <w:t>. Po odpravi napake na</w:t>
      </w:r>
      <w:r w:rsidR="00C47FC4">
        <w:rPr>
          <w:sz w:val="24"/>
          <w:szCs w:val="24"/>
        </w:rPr>
        <w:t xml:space="preserve"> </w:t>
      </w:r>
      <w:r w:rsidR="0066200F">
        <w:rPr>
          <w:sz w:val="24"/>
          <w:szCs w:val="24"/>
        </w:rPr>
        <w:t xml:space="preserve"> napravi za dezinfekcijo so odvzeti vzorci vode izkazovali skladnost s Pravilnikom o pitni vodi. </w:t>
      </w:r>
    </w:p>
    <w:p w:rsidR="0066200F" w:rsidRDefault="0066200F" w:rsidP="00D170CC">
      <w:pPr>
        <w:jc w:val="both"/>
        <w:rPr>
          <w:sz w:val="24"/>
          <w:szCs w:val="24"/>
        </w:rPr>
      </w:pPr>
    </w:p>
    <w:p w:rsidR="00BF26A9" w:rsidRDefault="0066200F" w:rsidP="00D170CC">
      <w:pPr>
        <w:jc w:val="both"/>
        <w:rPr>
          <w:sz w:val="24"/>
          <w:szCs w:val="24"/>
        </w:rPr>
      </w:pPr>
      <w:r>
        <w:rPr>
          <w:sz w:val="24"/>
          <w:szCs w:val="24"/>
        </w:rPr>
        <w:t xml:space="preserve">Na sistemu za oskrbo s pitno vodo Račica </w:t>
      </w:r>
      <w:r w:rsidR="004B1C34">
        <w:rPr>
          <w:sz w:val="24"/>
          <w:szCs w:val="24"/>
        </w:rPr>
        <w:t>-</w:t>
      </w:r>
      <w:r>
        <w:rPr>
          <w:sz w:val="24"/>
          <w:szCs w:val="24"/>
        </w:rPr>
        <w:t xml:space="preserve"> Štanga </w:t>
      </w:r>
      <w:r w:rsidR="004B1C34">
        <w:rPr>
          <w:sz w:val="24"/>
          <w:szCs w:val="24"/>
        </w:rPr>
        <w:t>je upravljavec m</w:t>
      </w:r>
      <w:r>
        <w:rPr>
          <w:sz w:val="24"/>
          <w:szCs w:val="24"/>
        </w:rPr>
        <w:t>oral</w:t>
      </w:r>
      <w:r w:rsidR="004B1C34">
        <w:rPr>
          <w:sz w:val="24"/>
          <w:szCs w:val="24"/>
        </w:rPr>
        <w:t>,</w:t>
      </w:r>
      <w:r>
        <w:rPr>
          <w:sz w:val="24"/>
          <w:szCs w:val="24"/>
        </w:rPr>
        <w:t xml:space="preserve"> zaradi ponavljajočih neskladnostih</w:t>
      </w:r>
      <w:r w:rsidR="004B1C34">
        <w:rPr>
          <w:sz w:val="24"/>
          <w:szCs w:val="24"/>
        </w:rPr>
        <w:t>,</w:t>
      </w:r>
      <w:r>
        <w:rPr>
          <w:sz w:val="24"/>
          <w:szCs w:val="24"/>
        </w:rPr>
        <w:t xml:space="preserve"> uvesti postopek dezinfekcije s klorovim preparatom. Po vzpostavitvi dezinfekcije na celotnem sistemu so vzorci vode izkazovali skladnost s Pravilnikom o pitni vodi in ukrep prekuhavanja je bil preklican.</w:t>
      </w:r>
    </w:p>
    <w:p w:rsidR="0066200F" w:rsidRDefault="0066200F" w:rsidP="00D170CC">
      <w:pPr>
        <w:jc w:val="both"/>
        <w:rPr>
          <w:sz w:val="24"/>
          <w:szCs w:val="24"/>
        </w:rPr>
      </w:pPr>
    </w:p>
    <w:p w:rsidR="0066200F" w:rsidRPr="00BF26A9" w:rsidRDefault="0066200F" w:rsidP="008A1AFB">
      <w:pPr>
        <w:rPr>
          <w:sz w:val="24"/>
          <w:szCs w:val="24"/>
        </w:rPr>
      </w:pPr>
    </w:p>
    <w:p w:rsidR="008A1AFB" w:rsidRDefault="008A1AFB" w:rsidP="008A1AFB">
      <w:pPr>
        <w:rPr>
          <w:szCs w:val="24"/>
        </w:rPr>
      </w:pPr>
      <w:r>
        <w:t xml:space="preserve">Pripravila:                                                                             </w:t>
      </w:r>
      <w:r w:rsidR="00B44100">
        <w:t xml:space="preserve">                                                                 </w:t>
      </w:r>
      <w:r w:rsidR="004965B2">
        <w:t>KSP Litija d.o.o.</w:t>
      </w:r>
      <w:r w:rsidR="00B44100">
        <w:t xml:space="preserve">                                                                        </w:t>
      </w:r>
      <w:r w:rsidR="009F6A7B">
        <w:t xml:space="preserve">                                       </w:t>
      </w:r>
      <w:r w:rsidR="00B44100">
        <w:t xml:space="preserve">  </w:t>
      </w:r>
      <w:r w:rsidR="003670FE">
        <w:t xml:space="preserve">             </w:t>
      </w:r>
      <w:r>
        <w:rPr>
          <w:szCs w:val="24"/>
        </w:rPr>
        <w:t>Marta Peršin</w:t>
      </w:r>
      <w:r w:rsidR="006D72CF">
        <w:rPr>
          <w:szCs w:val="24"/>
        </w:rPr>
        <w:t>, univ.dipl.kem.</w:t>
      </w:r>
      <w:r>
        <w:rPr>
          <w:szCs w:val="24"/>
        </w:rPr>
        <w:t xml:space="preserve">                                                      </w:t>
      </w:r>
    </w:p>
    <w:p w:rsidR="008A1AFB" w:rsidRDefault="008A1AFB" w:rsidP="008A1AFB">
      <w:pPr>
        <w:pStyle w:val="Telobesedila21"/>
      </w:pPr>
    </w:p>
    <w:p w:rsidR="00513776" w:rsidRDefault="00513776"/>
    <w:sectPr w:rsidR="00513776" w:rsidSect="00403601">
      <w:footerReference w:type="default" r:id="rId9"/>
      <w:headerReference w:type="first" r:id="rId10"/>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5B9" w:rsidRDefault="00EA55B9" w:rsidP="006E35A4">
      <w:r>
        <w:separator/>
      </w:r>
    </w:p>
  </w:endnote>
  <w:endnote w:type="continuationSeparator" w:id="0">
    <w:p w:rsidR="00EA55B9" w:rsidRDefault="00EA55B9" w:rsidP="006E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177342"/>
      <w:docPartObj>
        <w:docPartGallery w:val="Page Numbers (Bottom of Page)"/>
        <w:docPartUnique/>
      </w:docPartObj>
    </w:sdtPr>
    <w:sdtEndPr/>
    <w:sdtContent>
      <w:p w:rsidR="0072083B" w:rsidRDefault="0072083B">
        <w:pPr>
          <w:pStyle w:val="Noga"/>
          <w:jc w:val="center"/>
        </w:pPr>
        <w:r>
          <w:fldChar w:fldCharType="begin"/>
        </w:r>
        <w:r>
          <w:instrText>PAGE   \* MERGEFORMAT</w:instrText>
        </w:r>
        <w:r>
          <w:fldChar w:fldCharType="separate"/>
        </w:r>
        <w:r w:rsidR="00796DD2">
          <w:rPr>
            <w:noProof/>
          </w:rPr>
          <w:t>3</w:t>
        </w:r>
        <w:r>
          <w:fldChar w:fldCharType="end"/>
        </w:r>
      </w:p>
    </w:sdtContent>
  </w:sdt>
  <w:p w:rsidR="0072083B" w:rsidRDefault="0072083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5B9" w:rsidRDefault="00EA55B9" w:rsidP="006E35A4">
      <w:r>
        <w:separator/>
      </w:r>
    </w:p>
  </w:footnote>
  <w:footnote w:type="continuationSeparator" w:id="0">
    <w:p w:rsidR="00EA55B9" w:rsidRDefault="00EA55B9" w:rsidP="006E3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C33" w:rsidRDefault="00E35C33">
    <w:pPr>
      <w:pStyle w:val="Glava"/>
    </w:pPr>
    <w:r>
      <w:rPr>
        <w:noProof/>
        <w:lang w:eastAsia="sl-SI"/>
      </w:rPr>
      <w:drawing>
        <wp:inline distT="0" distB="0" distL="0" distR="0">
          <wp:extent cx="6645910" cy="1172210"/>
          <wp:effectExtent l="0" t="0" r="254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2585" r="7175"/>
                  <a:stretch>
                    <a:fillRect/>
                  </a:stretch>
                </pic:blipFill>
                <pic:spPr bwMode="auto">
                  <a:xfrm>
                    <a:off x="0" y="0"/>
                    <a:ext cx="6645910" cy="117221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B1"/>
    <w:rsid w:val="0001200C"/>
    <w:rsid w:val="00015C2A"/>
    <w:rsid w:val="00027D3E"/>
    <w:rsid w:val="00054C82"/>
    <w:rsid w:val="000560AC"/>
    <w:rsid w:val="000754D9"/>
    <w:rsid w:val="00082EC6"/>
    <w:rsid w:val="000A0FC4"/>
    <w:rsid w:val="000E2CCA"/>
    <w:rsid w:val="000F751B"/>
    <w:rsid w:val="00116910"/>
    <w:rsid w:val="00122FEA"/>
    <w:rsid w:val="00135795"/>
    <w:rsid w:val="00135E95"/>
    <w:rsid w:val="00155C5C"/>
    <w:rsid w:val="0016087D"/>
    <w:rsid w:val="001857D0"/>
    <w:rsid w:val="00186ECB"/>
    <w:rsid w:val="001C1005"/>
    <w:rsid w:val="001C49F2"/>
    <w:rsid w:val="00236CB9"/>
    <w:rsid w:val="00271C84"/>
    <w:rsid w:val="00275985"/>
    <w:rsid w:val="002809E9"/>
    <w:rsid w:val="0028522F"/>
    <w:rsid w:val="002B02BD"/>
    <w:rsid w:val="002D2E97"/>
    <w:rsid w:val="00313409"/>
    <w:rsid w:val="00324204"/>
    <w:rsid w:val="003452CC"/>
    <w:rsid w:val="00354564"/>
    <w:rsid w:val="003670FE"/>
    <w:rsid w:val="00386222"/>
    <w:rsid w:val="003A1A46"/>
    <w:rsid w:val="003D3447"/>
    <w:rsid w:val="003D3F18"/>
    <w:rsid w:val="003F158E"/>
    <w:rsid w:val="003F1E66"/>
    <w:rsid w:val="00403601"/>
    <w:rsid w:val="00431AB5"/>
    <w:rsid w:val="004329B6"/>
    <w:rsid w:val="00443A9D"/>
    <w:rsid w:val="00496138"/>
    <w:rsid w:val="004965B2"/>
    <w:rsid w:val="004B1C34"/>
    <w:rsid w:val="004B4553"/>
    <w:rsid w:val="004D6B5B"/>
    <w:rsid w:val="004E46ED"/>
    <w:rsid w:val="00503AE9"/>
    <w:rsid w:val="00503E31"/>
    <w:rsid w:val="00513776"/>
    <w:rsid w:val="005438C0"/>
    <w:rsid w:val="00547393"/>
    <w:rsid w:val="00573B30"/>
    <w:rsid w:val="00597F0A"/>
    <w:rsid w:val="005B111B"/>
    <w:rsid w:val="005D4ADB"/>
    <w:rsid w:val="005D6F3A"/>
    <w:rsid w:val="005E3057"/>
    <w:rsid w:val="00625393"/>
    <w:rsid w:val="0063438C"/>
    <w:rsid w:val="006476BC"/>
    <w:rsid w:val="006615E9"/>
    <w:rsid w:val="0066200F"/>
    <w:rsid w:val="006C51B9"/>
    <w:rsid w:val="006D07A0"/>
    <w:rsid w:val="006D72CF"/>
    <w:rsid w:val="006E35A4"/>
    <w:rsid w:val="007043C6"/>
    <w:rsid w:val="0072083B"/>
    <w:rsid w:val="00723257"/>
    <w:rsid w:val="00726284"/>
    <w:rsid w:val="00731272"/>
    <w:rsid w:val="00732B04"/>
    <w:rsid w:val="00735AC5"/>
    <w:rsid w:val="00772209"/>
    <w:rsid w:val="007774EB"/>
    <w:rsid w:val="0077767C"/>
    <w:rsid w:val="00796DD2"/>
    <w:rsid w:val="007E5468"/>
    <w:rsid w:val="007E79CF"/>
    <w:rsid w:val="00805588"/>
    <w:rsid w:val="008125B2"/>
    <w:rsid w:val="00846D52"/>
    <w:rsid w:val="00846E56"/>
    <w:rsid w:val="00855808"/>
    <w:rsid w:val="008616FB"/>
    <w:rsid w:val="00862961"/>
    <w:rsid w:val="008A1AFB"/>
    <w:rsid w:val="008A5351"/>
    <w:rsid w:val="008C26D1"/>
    <w:rsid w:val="008C51B7"/>
    <w:rsid w:val="008C6B59"/>
    <w:rsid w:val="008D4F77"/>
    <w:rsid w:val="008E6869"/>
    <w:rsid w:val="008E79D3"/>
    <w:rsid w:val="0090008C"/>
    <w:rsid w:val="00903DD0"/>
    <w:rsid w:val="00904FE0"/>
    <w:rsid w:val="00915C32"/>
    <w:rsid w:val="00916BBE"/>
    <w:rsid w:val="009348B3"/>
    <w:rsid w:val="009A7740"/>
    <w:rsid w:val="009B15BC"/>
    <w:rsid w:val="009B3969"/>
    <w:rsid w:val="009C0AEB"/>
    <w:rsid w:val="009C3A6F"/>
    <w:rsid w:val="009F068D"/>
    <w:rsid w:val="009F6A7B"/>
    <w:rsid w:val="00A12BA1"/>
    <w:rsid w:val="00A41619"/>
    <w:rsid w:val="00A47B60"/>
    <w:rsid w:val="00AC6996"/>
    <w:rsid w:val="00AE47B5"/>
    <w:rsid w:val="00B03EC5"/>
    <w:rsid w:val="00B233BE"/>
    <w:rsid w:val="00B303FA"/>
    <w:rsid w:val="00B44100"/>
    <w:rsid w:val="00B738E4"/>
    <w:rsid w:val="00B91C7F"/>
    <w:rsid w:val="00BA3673"/>
    <w:rsid w:val="00BE3D1E"/>
    <w:rsid w:val="00BE5E2D"/>
    <w:rsid w:val="00BF26A9"/>
    <w:rsid w:val="00C16801"/>
    <w:rsid w:val="00C300A1"/>
    <w:rsid w:val="00C47FC4"/>
    <w:rsid w:val="00C5244F"/>
    <w:rsid w:val="00C83B75"/>
    <w:rsid w:val="00C84B07"/>
    <w:rsid w:val="00C94B94"/>
    <w:rsid w:val="00C9684D"/>
    <w:rsid w:val="00CC00F7"/>
    <w:rsid w:val="00CC46AD"/>
    <w:rsid w:val="00CD0188"/>
    <w:rsid w:val="00CD66CE"/>
    <w:rsid w:val="00D0340E"/>
    <w:rsid w:val="00D12C63"/>
    <w:rsid w:val="00D170CC"/>
    <w:rsid w:val="00D40B63"/>
    <w:rsid w:val="00D7371E"/>
    <w:rsid w:val="00D82E76"/>
    <w:rsid w:val="00DA4BB1"/>
    <w:rsid w:val="00DA58C3"/>
    <w:rsid w:val="00DE5343"/>
    <w:rsid w:val="00DE6EAC"/>
    <w:rsid w:val="00E000B5"/>
    <w:rsid w:val="00E05C86"/>
    <w:rsid w:val="00E07499"/>
    <w:rsid w:val="00E306FE"/>
    <w:rsid w:val="00E35C33"/>
    <w:rsid w:val="00E42E62"/>
    <w:rsid w:val="00E728C3"/>
    <w:rsid w:val="00E8168B"/>
    <w:rsid w:val="00E853D9"/>
    <w:rsid w:val="00EA55B9"/>
    <w:rsid w:val="00ED7660"/>
    <w:rsid w:val="00EF2142"/>
    <w:rsid w:val="00F27403"/>
    <w:rsid w:val="00F35631"/>
    <w:rsid w:val="00F35634"/>
    <w:rsid w:val="00F36063"/>
    <w:rsid w:val="00F45273"/>
    <w:rsid w:val="00F67DDA"/>
    <w:rsid w:val="00F73621"/>
    <w:rsid w:val="00F800C7"/>
    <w:rsid w:val="00F80149"/>
    <w:rsid w:val="00F854EE"/>
    <w:rsid w:val="00F93315"/>
    <w:rsid w:val="00FF4E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FC453-B1EE-425E-B315-8C8D7F43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2961"/>
  </w:style>
  <w:style w:type="paragraph" w:styleId="Naslov1">
    <w:name w:val="heading 1"/>
    <w:basedOn w:val="Navaden"/>
    <w:next w:val="Navaden"/>
    <w:link w:val="Naslov1Znak"/>
    <w:qFormat/>
    <w:rsid w:val="00862961"/>
    <w:pPr>
      <w:keepNext/>
      <w:outlineLvl w:val="0"/>
    </w:pPr>
    <w:rPr>
      <w:b/>
      <w:bCs/>
    </w:rPr>
  </w:style>
  <w:style w:type="paragraph" w:styleId="Naslov2">
    <w:name w:val="heading 2"/>
    <w:basedOn w:val="Navaden"/>
    <w:next w:val="Navaden"/>
    <w:link w:val="Naslov2Znak"/>
    <w:qFormat/>
    <w:rsid w:val="00862961"/>
    <w:pPr>
      <w:keepNext/>
      <w:outlineLvl w:val="1"/>
    </w:pPr>
    <w:rPr>
      <w:i/>
      <w:iCs/>
      <w:color w:val="0000FF"/>
    </w:rPr>
  </w:style>
  <w:style w:type="paragraph" w:styleId="Naslov3">
    <w:name w:val="heading 3"/>
    <w:basedOn w:val="Navaden"/>
    <w:next w:val="Navaden"/>
    <w:link w:val="Naslov3Znak"/>
    <w:semiHidden/>
    <w:unhideWhenUsed/>
    <w:qFormat/>
    <w:rsid w:val="008A1AFB"/>
    <w:pPr>
      <w:keepNext/>
      <w:tabs>
        <w:tab w:val="num" w:pos="0"/>
        <w:tab w:val="left" w:pos="1120"/>
      </w:tabs>
      <w:suppressAutoHyphens/>
      <w:ind w:left="720" w:hanging="720"/>
      <w:jc w:val="center"/>
      <w:outlineLvl w:val="2"/>
    </w:pPr>
    <w:rPr>
      <w:rFonts w:eastAsia="Arial Unicode MS"/>
      <w:bCs/>
      <w:sz w:val="48"/>
      <w:lang w:eastAsia="zh-CN"/>
    </w:rPr>
  </w:style>
  <w:style w:type="paragraph" w:styleId="Naslov4">
    <w:name w:val="heading 4"/>
    <w:basedOn w:val="Navaden"/>
    <w:next w:val="Navaden"/>
    <w:link w:val="Naslov4Znak"/>
    <w:semiHidden/>
    <w:unhideWhenUsed/>
    <w:qFormat/>
    <w:rsid w:val="008A1AFB"/>
    <w:pPr>
      <w:keepNext/>
      <w:tabs>
        <w:tab w:val="num" w:pos="0"/>
      </w:tabs>
      <w:suppressAutoHyphens/>
      <w:ind w:left="864" w:hanging="864"/>
      <w:jc w:val="center"/>
      <w:outlineLvl w:val="3"/>
    </w:pPr>
    <w:rPr>
      <w:rFonts w:eastAsia="Arial Unicode MS" w:cs="Arial"/>
      <w:b/>
      <w:lang w:eastAsia="zh-CN"/>
    </w:rPr>
  </w:style>
  <w:style w:type="paragraph" w:styleId="Naslov5">
    <w:name w:val="heading 5"/>
    <w:basedOn w:val="Navaden"/>
    <w:next w:val="Navaden"/>
    <w:link w:val="Naslov5Znak"/>
    <w:semiHidden/>
    <w:unhideWhenUsed/>
    <w:qFormat/>
    <w:rsid w:val="008A1AFB"/>
    <w:pPr>
      <w:keepNext/>
      <w:tabs>
        <w:tab w:val="num" w:pos="0"/>
        <w:tab w:val="left" w:pos="1120"/>
      </w:tabs>
      <w:suppressAutoHyphens/>
      <w:ind w:left="1008" w:hanging="1008"/>
      <w:jc w:val="both"/>
      <w:outlineLvl w:val="4"/>
    </w:pPr>
    <w:rPr>
      <w:rFonts w:eastAsia="Arial Unicode MS"/>
      <w:b/>
      <w:sz w:val="24"/>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62961"/>
    <w:rPr>
      <w:b/>
      <w:bCs/>
    </w:rPr>
  </w:style>
  <w:style w:type="character" w:customStyle="1" w:styleId="Naslov2Znak">
    <w:name w:val="Naslov 2 Znak"/>
    <w:basedOn w:val="Privzetapisavaodstavka"/>
    <w:link w:val="Naslov2"/>
    <w:rsid w:val="00862961"/>
    <w:rPr>
      <w:i/>
      <w:iCs/>
      <w:color w:val="0000FF"/>
    </w:rPr>
  </w:style>
  <w:style w:type="paragraph" w:styleId="Napis">
    <w:name w:val="caption"/>
    <w:basedOn w:val="Navaden"/>
    <w:next w:val="Navaden"/>
    <w:qFormat/>
    <w:rsid w:val="00862961"/>
    <w:pPr>
      <w:spacing w:before="120" w:after="120"/>
    </w:pPr>
    <w:rPr>
      <w:b/>
      <w:bCs/>
    </w:rPr>
  </w:style>
  <w:style w:type="paragraph" w:styleId="Besedilooblaka">
    <w:name w:val="Balloon Text"/>
    <w:basedOn w:val="Navaden"/>
    <w:link w:val="BesedilooblakaZnak"/>
    <w:uiPriority w:val="99"/>
    <w:semiHidden/>
    <w:unhideWhenUsed/>
    <w:rsid w:val="00E000B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00B5"/>
    <w:rPr>
      <w:rFonts w:ascii="Segoe UI" w:hAnsi="Segoe UI" w:cs="Segoe UI"/>
      <w:sz w:val="18"/>
      <w:szCs w:val="18"/>
    </w:rPr>
  </w:style>
  <w:style w:type="character" w:customStyle="1" w:styleId="Naslov3Znak">
    <w:name w:val="Naslov 3 Znak"/>
    <w:basedOn w:val="Privzetapisavaodstavka"/>
    <w:link w:val="Naslov3"/>
    <w:semiHidden/>
    <w:rsid w:val="008A1AFB"/>
    <w:rPr>
      <w:rFonts w:eastAsia="Arial Unicode MS"/>
      <w:bCs/>
      <w:sz w:val="48"/>
      <w:lang w:eastAsia="zh-CN"/>
    </w:rPr>
  </w:style>
  <w:style w:type="character" w:customStyle="1" w:styleId="Naslov4Znak">
    <w:name w:val="Naslov 4 Znak"/>
    <w:basedOn w:val="Privzetapisavaodstavka"/>
    <w:link w:val="Naslov4"/>
    <w:semiHidden/>
    <w:rsid w:val="008A1AFB"/>
    <w:rPr>
      <w:rFonts w:eastAsia="Arial Unicode MS" w:cs="Arial"/>
      <w:b/>
      <w:lang w:eastAsia="zh-CN"/>
    </w:rPr>
  </w:style>
  <w:style w:type="character" w:customStyle="1" w:styleId="Naslov5Znak">
    <w:name w:val="Naslov 5 Znak"/>
    <w:basedOn w:val="Privzetapisavaodstavka"/>
    <w:link w:val="Naslov5"/>
    <w:semiHidden/>
    <w:rsid w:val="008A1AFB"/>
    <w:rPr>
      <w:rFonts w:eastAsia="Arial Unicode MS"/>
      <w:b/>
      <w:sz w:val="24"/>
      <w:lang w:eastAsia="zh-CN"/>
    </w:rPr>
  </w:style>
  <w:style w:type="character" w:styleId="Hiperpovezava">
    <w:name w:val="Hyperlink"/>
    <w:basedOn w:val="Privzetapisavaodstavka"/>
    <w:uiPriority w:val="99"/>
    <w:semiHidden/>
    <w:unhideWhenUsed/>
    <w:rsid w:val="008A1AFB"/>
    <w:rPr>
      <w:color w:val="0000FF" w:themeColor="hyperlink"/>
      <w:u w:val="single"/>
    </w:rPr>
  </w:style>
  <w:style w:type="paragraph" w:styleId="Brezrazmikov">
    <w:name w:val="No Spacing"/>
    <w:uiPriority w:val="1"/>
    <w:qFormat/>
    <w:rsid w:val="008A1AFB"/>
    <w:pPr>
      <w:suppressAutoHyphens/>
    </w:pPr>
    <w:rPr>
      <w:sz w:val="24"/>
      <w:lang w:eastAsia="zh-CN"/>
    </w:rPr>
  </w:style>
  <w:style w:type="paragraph" w:customStyle="1" w:styleId="Telobesedila21">
    <w:name w:val="Telo besedila 21"/>
    <w:basedOn w:val="Navaden"/>
    <w:rsid w:val="008A1AFB"/>
    <w:pPr>
      <w:suppressAutoHyphens/>
      <w:jc w:val="both"/>
    </w:pPr>
    <w:rPr>
      <w:sz w:val="24"/>
      <w:lang w:eastAsia="zh-CN"/>
    </w:rPr>
  </w:style>
  <w:style w:type="paragraph" w:styleId="Glava">
    <w:name w:val="header"/>
    <w:basedOn w:val="Navaden"/>
    <w:link w:val="GlavaZnak"/>
    <w:uiPriority w:val="99"/>
    <w:unhideWhenUsed/>
    <w:rsid w:val="006E35A4"/>
    <w:pPr>
      <w:tabs>
        <w:tab w:val="center" w:pos="4536"/>
        <w:tab w:val="right" w:pos="9072"/>
      </w:tabs>
    </w:pPr>
  </w:style>
  <w:style w:type="character" w:customStyle="1" w:styleId="GlavaZnak">
    <w:name w:val="Glava Znak"/>
    <w:basedOn w:val="Privzetapisavaodstavka"/>
    <w:link w:val="Glava"/>
    <w:uiPriority w:val="99"/>
    <w:rsid w:val="006E35A4"/>
  </w:style>
  <w:style w:type="paragraph" w:styleId="Noga">
    <w:name w:val="footer"/>
    <w:basedOn w:val="Navaden"/>
    <w:link w:val="NogaZnak"/>
    <w:uiPriority w:val="99"/>
    <w:unhideWhenUsed/>
    <w:rsid w:val="006E35A4"/>
    <w:pPr>
      <w:tabs>
        <w:tab w:val="center" w:pos="4536"/>
        <w:tab w:val="right" w:pos="9072"/>
      </w:tabs>
    </w:pPr>
  </w:style>
  <w:style w:type="character" w:customStyle="1" w:styleId="NogaZnak">
    <w:name w:val="Noga Znak"/>
    <w:basedOn w:val="Privzetapisavaodstavka"/>
    <w:link w:val="Noga"/>
    <w:uiPriority w:val="99"/>
    <w:rsid w:val="006E35A4"/>
  </w:style>
  <w:style w:type="paragraph" w:styleId="Telobesedila">
    <w:name w:val="Body Text"/>
    <w:basedOn w:val="Navaden"/>
    <w:link w:val="TelobesedilaZnak"/>
    <w:rsid w:val="00054C82"/>
    <w:pPr>
      <w:suppressAutoHyphens/>
      <w:jc w:val="both"/>
    </w:pPr>
    <w:rPr>
      <w:sz w:val="24"/>
      <w:lang w:eastAsia="zh-CN"/>
    </w:rPr>
  </w:style>
  <w:style w:type="character" w:customStyle="1" w:styleId="TelobesedilaZnak">
    <w:name w:val="Telo besedila Znak"/>
    <w:basedOn w:val="Privzetapisavaodstavka"/>
    <w:link w:val="Telobesedila"/>
    <w:rsid w:val="00054C8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00916">
      <w:bodyDiv w:val="1"/>
      <w:marLeft w:val="0"/>
      <w:marRight w:val="0"/>
      <w:marTop w:val="0"/>
      <w:marBottom w:val="0"/>
      <w:divBdr>
        <w:top w:val="none" w:sz="0" w:space="0" w:color="auto"/>
        <w:left w:val="none" w:sz="0" w:space="0" w:color="auto"/>
        <w:bottom w:val="none" w:sz="0" w:space="0" w:color="auto"/>
        <w:right w:val="none" w:sz="0" w:space="0" w:color="auto"/>
      </w:divBdr>
    </w:div>
    <w:div w:id="662394817">
      <w:bodyDiv w:val="1"/>
      <w:marLeft w:val="0"/>
      <w:marRight w:val="0"/>
      <w:marTop w:val="0"/>
      <w:marBottom w:val="0"/>
      <w:divBdr>
        <w:top w:val="none" w:sz="0" w:space="0" w:color="auto"/>
        <w:left w:val="none" w:sz="0" w:space="0" w:color="auto"/>
        <w:bottom w:val="none" w:sz="0" w:space="0" w:color="auto"/>
        <w:right w:val="none" w:sz="0" w:space="0" w:color="auto"/>
      </w:divBdr>
    </w:div>
    <w:div w:id="11857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ov_delovni_lis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1" b="1" i="0" u="none" strike="noStrike" baseline="0">
                <a:solidFill>
                  <a:srgbClr val="000000"/>
                </a:solidFill>
                <a:latin typeface="Calibri"/>
                <a:ea typeface="Calibri"/>
                <a:cs typeface="Calibri"/>
              </a:defRPr>
            </a:pPr>
            <a:r>
              <a:rPr lang="sl-SI"/>
              <a:t>GRAFIČNI PRIKAZ</a:t>
            </a:r>
            <a:r>
              <a:rPr lang="sl-SI" baseline="0"/>
              <a:t> odvzetih vzorcev pitne vode v okviru notranjega nadzora</a:t>
            </a:r>
            <a:endParaRPr lang="sl-SI"/>
          </a:p>
        </c:rich>
      </c:tx>
      <c:layout>
        <c:manualLayout>
          <c:xMode val="edge"/>
          <c:yMode val="edge"/>
          <c:x val="0.17585558867288484"/>
          <c:y val="4.2875409804543664E-3"/>
        </c:manualLayout>
      </c:layout>
      <c:overlay val="0"/>
      <c:spPr>
        <a:noFill/>
        <a:ln w="25308">
          <a:noFill/>
        </a:ln>
      </c:spPr>
    </c:title>
    <c:autoTitleDeleted val="0"/>
    <c:view3D>
      <c:rotX val="15"/>
      <c:hPercent val="48"/>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4559386973180077"/>
          <c:y val="0.11742424242424243"/>
          <c:w val="0.73563218390804597"/>
          <c:h val="0.63257575757575757"/>
        </c:manualLayout>
      </c:layout>
      <c:bar3DChart>
        <c:barDir val="col"/>
        <c:grouping val="stacked"/>
        <c:varyColors val="0"/>
        <c:ser>
          <c:idx val="0"/>
          <c:order val="0"/>
          <c:tx>
            <c:strRef>
              <c:f>Sheet1!$A$2</c:f>
              <c:strCache>
                <c:ptCount val="1"/>
                <c:pt idx="0">
                  <c:v>VSI</c:v>
                </c:pt>
              </c:strCache>
            </c:strRef>
          </c:tx>
          <c:spPr>
            <a:solidFill>
              <a:srgbClr val="9999FF"/>
            </a:solidFill>
            <a:ln w="12654">
              <a:solidFill>
                <a:srgbClr val="000000"/>
              </a:solidFill>
              <a:prstDash val="solid"/>
            </a:ln>
          </c:spPr>
          <c:invertIfNegative val="0"/>
          <c:dLbls>
            <c:dLbl>
              <c:idx val="0"/>
              <c:layout>
                <c:manualLayout>
                  <c:x val="3.656935190793421E-3"/>
                  <c:y val="-0.18803564358924407"/>
                </c:manualLayout>
              </c:layout>
              <c:spPr>
                <a:noFill/>
                <a:ln w="25308">
                  <a:noFill/>
                </a:ln>
              </c:spPr>
              <c:txPr>
                <a:bodyPr/>
                <a:lstStyle/>
                <a:p>
                  <a:pPr>
                    <a:defRPr sz="1021" b="1"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13E-4BBF-BC01-2E2F6DBE2AA9}"/>
                </c:ext>
                <c:ext xmlns:c15="http://schemas.microsoft.com/office/drawing/2012/chart" uri="{CE6537A1-D6FC-4f65-9D91-7224C49458BB}"/>
              </c:extLst>
            </c:dLbl>
            <c:spPr>
              <a:noFill/>
              <a:ln w="25308">
                <a:noFill/>
              </a:ln>
            </c:spPr>
            <c:txPr>
              <a:bodyPr wrap="square" lIns="38100" tIns="19050" rIns="38100" bIns="19050" anchor="ctr">
                <a:spAutoFit/>
              </a:bodyPr>
              <a:lstStyle/>
              <a:p>
                <a:pPr>
                  <a:defRPr sz="1021" b="1"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VSI</c:v>
                </c:pt>
                <c:pt idx="1">
                  <c:v>Skladni</c:v>
                </c:pt>
                <c:pt idx="2">
                  <c:v>Neskladni</c:v>
                </c:pt>
              </c:strCache>
            </c:strRef>
          </c:cat>
          <c:val>
            <c:numRef>
              <c:f>Sheet1!$B$2:$E$2</c:f>
              <c:numCache>
                <c:formatCode>General</c:formatCode>
                <c:ptCount val="4"/>
                <c:pt idx="0">
                  <c:v>69</c:v>
                </c:pt>
              </c:numCache>
            </c:numRef>
          </c:val>
          <c:extLst xmlns:c16r2="http://schemas.microsoft.com/office/drawing/2015/06/chart">
            <c:ext xmlns:c16="http://schemas.microsoft.com/office/drawing/2014/chart" uri="{C3380CC4-5D6E-409C-BE32-E72D297353CC}">
              <c16:uniqueId val="{00000001-D13E-4BBF-BC01-2E2F6DBE2AA9}"/>
            </c:ext>
          </c:extLst>
        </c:ser>
        <c:ser>
          <c:idx val="1"/>
          <c:order val="1"/>
          <c:tx>
            <c:strRef>
              <c:f>Sheet1!$A$3</c:f>
              <c:strCache>
                <c:ptCount val="1"/>
                <c:pt idx="0">
                  <c:v>skladni</c:v>
                </c:pt>
              </c:strCache>
            </c:strRef>
          </c:tx>
          <c:spPr>
            <a:solidFill>
              <a:schemeClr val="accent3">
                <a:lumMod val="75000"/>
              </a:schemeClr>
            </a:solidFill>
            <a:ln w="12654">
              <a:solidFill>
                <a:srgbClr val="000000"/>
              </a:solidFill>
              <a:prstDash val="solid"/>
            </a:ln>
          </c:spPr>
          <c:invertIfNegative val="0"/>
          <c:dLbls>
            <c:dLbl>
              <c:idx val="1"/>
              <c:layout>
                <c:manualLayout>
                  <c:x val="-5.1868362608520086E-3"/>
                  <c:y val="-0.1381475011154332"/>
                </c:manualLayout>
              </c:layout>
              <c:spPr>
                <a:noFill/>
                <a:ln w="25308">
                  <a:noFill/>
                </a:ln>
              </c:spPr>
              <c:txPr>
                <a:bodyPr/>
                <a:lstStyle/>
                <a:p>
                  <a:pPr>
                    <a:defRPr sz="1121" b="1"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13E-4BBF-BC01-2E2F6DBE2AA9}"/>
                </c:ext>
                <c:ext xmlns:c15="http://schemas.microsoft.com/office/drawing/2012/chart" uri="{CE6537A1-D6FC-4f65-9D91-7224C49458BB}"/>
              </c:extLst>
            </c:dLbl>
            <c:spPr>
              <a:noFill/>
              <a:ln w="25308">
                <a:noFill/>
              </a:ln>
            </c:spPr>
            <c:txPr>
              <a:bodyPr wrap="square" lIns="38100" tIns="19050" rIns="38100" bIns="19050" anchor="ctr">
                <a:spAutoFit/>
              </a:bodyPr>
              <a:lstStyle/>
              <a:p>
                <a:pPr>
                  <a:defRPr sz="1121" b="1"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VSI</c:v>
                </c:pt>
                <c:pt idx="1">
                  <c:v>Skladni</c:v>
                </c:pt>
                <c:pt idx="2">
                  <c:v>Neskladni</c:v>
                </c:pt>
              </c:strCache>
            </c:strRef>
          </c:cat>
          <c:val>
            <c:numRef>
              <c:f>Sheet1!$B$3:$E$3</c:f>
              <c:numCache>
                <c:formatCode>General</c:formatCode>
                <c:ptCount val="4"/>
                <c:pt idx="1">
                  <c:v>58</c:v>
                </c:pt>
              </c:numCache>
            </c:numRef>
          </c:val>
          <c:extLst xmlns:c16r2="http://schemas.microsoft.com/office/drawing/2015/06/chart">
            <c:ext xmlns:c16="http://schemas.microsoft.com/office/drawing/2014/chart" uri="{C3380CC4-5D6E-409C-BE32-E72D297353CC}">
              <c16:uniqueId val="{00000003-D13E-4BBF-BC01-2E2F6DBE2AA9}"/>
            </c:ext>
          </c:extLst>
        </c:ser>
        <c:ser>
          <c:idx val="2"/>
          <c:order val="2"/>
          <c:tx>
            <c:strRef>
              <c:f>Sheet1!$A$4</c:f>
              <c:strCache>
                <c:ptCount val="1"/>
                <c:pt idx="0">
                  <c:v>neskladni</c:v>
                </c:pt>
              </c:strCache>
            </c:strRef>
          </c:tx>
          <c:spPr>
            <a:solidFill>
              <a:srgbClr val="C00000"/>
            </a:solidFill>
            <a:ln w="12654">
              <a:solidFill>
                <a:srgbClr val="000000"/>
              </a:solidFill>
              <a:prstDash val="solid"/>
            </a:ln>
          </c:spPr>
          <c:invertIfNegative val="0"/>
          <c:dLbls>
            <c:dLbl>
              <c:idx val="2"/>
              <c:layout>
                <c:manualLayout>
                  <c:x val="7.3330102967898245E-3"/>
                  <c:y val="-8.8031244697765465E-3"/>
                </c:manualLayout>
              </c:layout>
              <c:spPr>
                <a:noFill/>
                <a:ln w="25308">
                  <a:noFill/>
                </a:ln>
              </c:spPr>
              <c:txPr>
                <a:bodyPr/>
                <a:lstStyle/>
                <a:p>
                  <a:pPr>
                    <a:defRPr sz="1021" b="1"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13E-4BBF-BC01-2E2F6DBE2AA9}"/>
                </c:ext>
                <c:ext xmlns:c15="http://schemas.microsoft.com/office/drawing/2012/chart" uri="{CE6537A1-D6FC-4f65-9D91-7224C49458BB}">
                  <c15:layout>
                    <c:manualLayout>
                      <c:w val="8.4461619220674328E-2"/>
                      <c:h val="0.10558659217877095"/>
                    </c:manualLayout>
                  </c15:layout>
                </c:ext>
              </c:extLst>
            </c:dLbl>
            <c:spPr>
              <a:noFill/>
              <a:ln w="25308">
                <a:noFill/>
              </a:ln>
            </c:spPr>
            <c:txPr>
              <a:bodyPr wrap="square" lIns="38100" tIns="19050" rIns="38100" bIns="19050" anchor="ctr">
                <a:spAutoFit/>
              </a:bodyPr>
              <a:lstStyle/>
              <a:p>
                <a:pPr>
                  <a:defRPr sz="1021" b="0" i="0" u="none" strike="noStrike" baseline="0">
                    <a:solidFill>
                      <a:srgbClr val="000000"/>
                    </a:solidFill>
                    <a:latin typeface="Calibri"/>
                    <a:ea typeface="Calibri"/>
                    <a:cs typeface="Calibri"/>
                  </a:defRPr>
                </a:pPr>
                <a:endParaRPr lang="sl-SI"/>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Sheet1!$B$1:$E$1</c:f>
              <c:strCache>
                <c:ptCount val="3"/>
                <c:pt idx="0">
                  <c:v>VSI</c:v>
                </c:pt>
                <c:pt idx="1">
                  <c:v>Skladni</c:v>
                </c:pt>
                <c:pt idx="2">
                  <c:v>Neskladni</c:v>
                </c:pt>
              </c:strCache>
            </c:strRef>
          </c:cat>
          <c:val>
            <c:numRef>
              <c:f>Sheet1!$B$4:$E$4</c:f>
              <c:numCache>
                <c:formatCode>General</c:formatCode>
                <c:ptCount val="4"/>
                <c:pt idx="2">
                  <c:v>11</c:v>
                </c:pt>
              </c:numCache>
            </c:numRef>
          </c:val>
          <c:extLst xmlns:c16r2="http://schemas.microsoft.com/office/drawing/2015/06/chart">
            <c:ext xmlns:c16="http://schemas.microsoft.com/office/drawing/2014/chart" uri="{C3380CC4-5D6E-409C-BE32-E72D297353CC}">
              <c16:uniqueId val="{00000005-D13E-4BBF-BC01-2E2F6DBE2AA9}"/>
            </c:ext>
          </c:extLst>
        </c:ser>
        <c:dLbls>
          <c:showLegendKey val="0"/>
          <c:showVal val="0"/>
          <c:showCatName val="0"/>
          <c:showSerName val="0"/>
          <c:showPercent val="0"/>
          <c:showBubbleSize val="0"/>
        </c:dLbls>
        <c:gapWidth val="150"/>
        <c:gapDepth val="0"/>
        <c:shape val="box"/>
        <c:axId val="406263728"/>
        <c:axId val="406264120"/>
        <c:axId val="0"/>
      </c:bar3DChart>
      <c:catAx>
        <c:axId val="406263728"/>
        <c:scaling>
          <c:orientation val="minMax"/>
        </c:scaling>
        <c:delete val="0"/>
        <c:axPos val="b"/>
        <c:title>
          <c:tx>
            <c:rich>
              <a:bodyPr/>
              <a:lstStyle/>
              <a:p>
                <a:pPr>
                  <a:defRPr sz="971" b="0" i="0" u="none" strike="noStrike" baseline="0">
                    <a:solidFill>
                      <a:srgbClr val="000000"/>
                    </a:solidFill>
                    <a:latin typeface="Calibri"/>
                    <a:ea typeface="Calibri"/>
                    <a:cs typeface="Calibri"/>
                  </a:defRPr>
                </a:pPr>
                <a:r>
                  <a:rPr lang="sl-SI"/>
                  <a:t>SKLADNOST</a:t>
                </a:r>
              </a:p>
            </c:rich>
          </c:tx>
          <c:layout>
            <c:manualLayout>
              <c:xMode val="edge"/>
              <c:yMode val="edge"/>
              <c:x val="0.39272030651340994"/>
              <c:y val="0.85984848484848486"/>
            </c:manualLayout>
          </c:layout>
          <c:overlay val="0"/>
          <c:spPr>
            <a:noFill/>
            <a:ln w="25308">
              <a:noFill/>
            </a:ln>
          </c:spPr>
        </c:title>
        <c:numFmt formatCode="General" sourceLinked="1"/>
        <c:majorTickMark val="out"/>
        <c:minorTickMark val="none"/>
        <c:tickLblPos val="low"/>
        <c:spPr>
          <a:ln w="3163">
            <a:solidFill>
              <a:srgbClr val="000000"/>
            </a:solidFill>
            <a:prstDash val="solid"/>
          </a:ln>
        </c:spPr>
        <c:txPr>
          <a:bodyPr rot="0" vert="horz"/>
          <a:lstStyle/>
          <a:p>
            <a:pPr>
              <a:defRPr sz="1021" b="0" i="0" u="none" strike="noStrike" baseline="0">
                <a:solidFill>
                  <a:srgbClr val="000000"/>
                </a:solidFill>
                <a:latin typeface="Calibri"/>
                <a:ea typeface="Calibri"/>
                <a:cs typeface="Calibri"/>
              </a:defRPr>
            </a:pPr>
            <a:endParaRPr lang="sl-SI"/>
          </a:p>
        </c:txPr>
        <c:crossAx val="406264120"/>
        <c:crosses val="autoZero"/>
        <c:auto val="1"/>
        <c:lblAlgn val="ctr"/>
        <c:lblOffset val="100"/>
        <c:tickLblSkip val="1"/>
        <c:tickMarkSkip val="1"/>
        <c:noMultiLvlLbl val="0"/>
      </c:catAx>
      <c:valAx>
        <c:axId val="406264120"/>
        <c:scaling>
          <c:orientation val="minMax"/>
        </c:scaling>
        <c:delete val="0"/>
        <c:axPos val="l"/>
        <c:majorGridlines>
          <c:spPr>
            <a:ln w="3163">
              <a:solidFill>
                <a:srgbClr val="000000"/>
              </a:solidFill>
              <a:prstDash val="solid"/>
            </a:ln>
          </c:spPr>
        </c:majorGridlines>
        <c:title>
          <c:tx>
            <c:rich>
              <a:bodyPr/>
              <a:lstStyle/>
              <a:p>
                <a:pPr>
                  <a:defRPr sz="1046" b="0" i="0" u="none" strike="noStrike" baseline="0">
                    <a:solidFill>
                      <a:srgbClr val="000000"/>
                    </a:solidFill>
                    <a:latin typeface="Calibri"/>
                    <a:ea typeface="Calibri"/>
                    <a:cs typeface="Calibri"/>
                  </a:defRPr>
                </a:pPr>
                <a:r>
                  <a:rPr lang="sl-SI"/>
                  <a:t>ŠTEVILO</a:t>
                </a:r>
                <a:r>
                  <a:rPr lang="sl-SI" baseline="0"/>
                  <a:t> VZORCEV</a:t>
                </a:r>
                <a:endParaRPr lang="sl-SI"/>
              </a:p>
            </c:rich>
          </c:tx>
          <c:layout>
            <c:manualLayout>
              <c:xMode val="edge"/>
              <c:yMode val="edge"/>
              <c:x val="6.1302681992337162E-2"/>
              <c:y val="0.19696969696969696"/>
            </c:manualLayout>
          </c:layout>
          <c:overlay val="0"/>
          <c:spPr>
            <a:noFill/>
            <a:ln w="25308">
              <a:noFill/>
            </a:ln>
          </c:spPr>
        </c:title>
        <c:numFmt formatCode="General" sourceLinked="1"/>
        <c:majorTickMark val="out"/>
        <c:minorTickMark val="none"/>
        <c:tickLblPos val="nextTo"/>
        <c:spPr>
          <a:ln w="3163">
            <a:solidFill>
              <a:srgbClr val="000000"/>
            </a:solidFill>
            <a:prstDash val="solid"/>
          </a:ln>
        </c:spPr>
        <c:txPr>
          <a:bodyPr rot="0" vert="horz"/>
          <a:lstStyle/>
          <a:p>
            <a:pPr>
              <a:defRPr sz="1021" b="0" i="0" u="none" strike="noStrike" baseline="0">
                <a:solidFill>
                  <a:srgbClr val="000000"/>
                </a:solidFill>
                <a:latin typeface="Calibri"/>
                <a:ea typeface="Calibri"/>
                <a:cs typeface="Calibri"/>
              </a:defRPr>
            </a:pPr>
            <a:endParaRPr lang="sl-SI"/>
          </a:p>
        </c:txPr>
        <c:crossAx val="406263728"/>
        <c:crosses val="autoZero"/>
        <c:crossBetween val="between"/>
      </c:valAx>
      <c:spPr>
        <a:noFill/>
        <a:ln w="25308">
          <a:noFill/>
        </a:ln>
      </c:spPr>
    </c:plotArea>
    <c:legend>
      <c:legendPos val="r"/>
      <c:layout>
        <c:manualLayout>
          <c:xMode val="edge"/>
          <c:yMode val="edge"/>
          <c:x val="0.83926449871732134"/>
          <c:y val="0.43181818181818182"/>
          <c:w val="0.15783501638566369"/>
          <c:h val="0.18870025862151849"/>
        </c:manualLayout>
      </c:layout>
      <c:overlay val="0"/>
      <c:spPr>
        <a:noFill/>
        <a:ln w="3163">
          <a:solidFill>
            <a:srgbClr val="000000"/>
          </a:solidFill>
          <a:prstDash val="solid"/>
        </a:ln>
      </c:spPr>
      <c:txPr>
        <a:bodyPr/>
        <a:lstStyle/>
        <a:p>
          <a:pPr>
            <a:defRPr sz="867" b="0" i="0" u="none" strike="noStrike" baseline="0">
              <a:solidFill>
                <a:srgbClr val="000000"/>
              </a:solidFill>
              <a:latin typeface="Calibri"/>
              <a:ea typeface="Calibri"/>
              <a:cs typeface="Calibri"/>
            </a:defRPr>
          </a:pPr>
          <a:endParaRPr lang="sl-SI"/>
        </a:p>
      </c:txPr>
    </c:legend>
    <c:plotVisOnly val="1"/>
    <c:dispBlanksAs val="gap"/>
    <c:showDLblsOverMax val="0"/>
  </c:chart>
  <c:spPr>
    <a:noFill/>
    <a:ln>
      <a:noFill/>
    </a:ln>
  </c:spPr>
  <c:txPr>
    <a:bodyPr/>
    <a:lstStyle/>
    <a:p>
      <a:pPr>
        <a:defRPr sz="947" b="0" i="0" u="none" strike="noStrike" baseline="0">
          <a:solidFill>
            <a:srgbClr val="000000"/>
          </a:solidFill>
          <a:latin typeface="Calibri"/>
          <a:ea typeface="Calibri"/>
          <a:cs typeface="Calibri"/>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FD17FA-9CCF-44D7-98F9-4090A491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marta10</dc:creator>
  <cp:keywords/>
  <dc:description/>
  <cp:lastModifiedBy>Nataša</cp:lastModifiedBy>
  <cp:revision>2</cp:revision>
  <cp:lastPrinted>2018-02-21T15:30:00Z</cp:lastPrinted>
  <dcterms:created xsi:type="dcterms:W3CDTF">2020-03-26T12:26:00Z</dcterms:created>
  <dcterms:modified xsi:type="dcterms:W3CDTF">2020-03-26T12:26:00Z</dcterms:modified>
</cp:coreProperties>
</file>