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77" w:rsidRDefault="00D41B14" w:rsidP="0069393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LINIJSKI PREVOZ GABROVKA – LITIJA – GABROVKA </w:t>
      </w:r>
      <w:bookmarkStart w:id="0" w:name="_GoBack"/>
      <w:bookmarkEnd w:id="0"/>
    </w:p>
    <w:p w:rsidR="00950BAE" w:rsidRDefault="00950BAE" w:rsidP="00693933">
      <w:pPr>
        <w:rPr>
          <w:rFonts w:cstheme="minorHAnsi"/>
          <w:b/>
          <w:sz w:val="28"/>
          <w:szCs w:val="28"/>
        </w:rPr>
      </w:pPr>
    </w:p>
    <w:p w:rsidR="008F4F6F" w:rsidRPr="00AF1B04" w:rsidRDefault="008F4F6F" w:rsidP="008F4F6F">
      <w:pPr>
        <w:spacing w:after="0" w:line="240" w:lineRule="auto"/>
        <w:rPr>
          <w:rFonts w:eastAsia="Times New Roman" w:cs="Arial"/>
          <w:color w:val="444444"/>
          <w:sz w:val="24"/>
          <w:szCs w:val="24"/>
          <w:lang w:eastAsia="sl-SI"/>
        </w:rPr>
      </w:pPr>
      <w:r w:rsidRPr="00AF1B04">
        <w:rPr>
          <w:rFonts w:eastAsia="Times New Roman" w:cs="Arial"/>
          <w:color w:val="444444"/>
          <w:sz w:val="24"/>
          <w:szCs w:val="24"/>
          <w:lang w:eastAsia="sl-SI"/>
        </w:rPr>
        <w:t xml:space="preserve">Občina Litija </w:t>
      </w:r>
      <w:r w:rsidRPr="00AF1B04">
        <w:rPr>
          <w:rFonts w:eastAsia="Times New Roman" w:cs="Arial"/>
          <w:color w:val="444444"/>
          <w:sz w:val="24"/>
          <w:szCs w:val="24"/>
          <w:lang w:eastAsia="sl-SI"/>
        </w:rPr>
        <w:t xml:space="preserve">je </w:t>
      </w:r>
      <w:r w:rsidRPr="00AF1B04">
        <w:rPr>
          <w:rFonts w:eastAsia="Times New Roman" w:cs="Arial"/>
          <w:color w:val="444444"/>
          <w:sz w:val="24"/>
          <w:szCs w:val="24"/>
          <w:lang w:eastAsia="sl-SI"/>
        </w:rPr>
        <w:t xml:space="preserve">v sodelovanju s SŽ ŽIP </w:t>
      </w:r>
      <w:proofErr w:type="spellStart"/>
      <w:r w:rsidRPr="00AF1B04">
        <w:rPr>
          <w:rFonts w:eastAsia="Times New Roman" w:cs="Arial"/>
          <w:color w:val="444444"/>
          <w:sz w:val="24"/>
          <w:szCs w:val="24"/>
          <w:lang w:eastAsia="sl-SI"/>
        </w:rPr>
        <w:t>d.o.o</w:t>
      </w:r>
      <w:proofErr w:type="spellEnd"/>
      <w:r w:rsidRPr="00AF1B04">
        <w:rPr>
          <w:rFonts w:eastAsia="Times New Roman" w:cs="Arial"/>
          <w:color w:val="444444"/>
          <w:sz w:val="24"/>
          <w:szCs w:val="24"/>
          <w:lang w:eastAsia="sl-SI"/>
        </w:rPr>
        <w:t xml:space="preserve"> in Ministrstvom za infrastrukturo </w:t>
      </w:r>
      <w:r w:rsidRPr="00AF1B04">
        <w:rPr>
          <w:rFonts w:eastAsia="Times New Roman" w:cs="Arial"/>
          <w:color w:val="444444"/>
          <w:sz w:val="24"/>
          <w:szCs w:val="24"/>
          <w:lang w:eastAsia="sl-SI"/>
        </w:rPr>
        <w:t>z</w:t>
      </w:r>
      <w:r w:rsidRPr="00AF1B04">
        <w:rPr>
          <w:rFonts w:eastAsia="Times New Roman" w:cs="Arial"/>
          <w:b/>
          <w:bCs/>
          <w:color w:val="444444"/>
          <w:sz w:val="24"/>
          <w:szCs w:val="24"/>
          <w:lang w:eastAsia="sl-SI"/>
        </w:rPr>
        <w:t xml:space="preserve"> januarjem 2018 </w:t>
      </w:r>
      <w:r w:rsidRPr="00AF1B04">
        <w:rPr>
          <w:rFonts w:eastAsia="Times New Roman" w:cs="Arial"/>
          <w:b/>
          <w:bCs/>
          <w:color w:val="444444"/>
          <w:sz w:val="24"/>
          <w:szCs w:val="24"/>
          <w:lang w:eastAsia="sl-SI"/>
        </w:rPr>
        <w:t xml:space="preserve">uvedla </w:t>
      </w:r>
      <w:r w:rsidRPr="00AF1B04">
        <w:rPr>
          <w:rFonts w:eastAsia="Times New Roman" w:cs="Arial"/>
          <w:color w:val="444444"/>
          <w:sz w:val="24"/>
          <w:szCs w:val="24"/>
          <w:lang w:eastAsia="sl-SI"/>
        </w:rPr>
        <w:t xml:space="preserve"> javni </w:t>
      </w:r>
      <w:r w:rsidRPr="00AF1B04">
        <w:rPr>
          <w:rFonts w:eastAsia="Times New Roman" w:cs="Arial"/>
          <w:b/>
          <w:bCs/>
          <w:color w:val="444444"/>
          <w:sz w:val="24"/>
          <w:szCs w:val="24"/>
          <w:lang w:eastAsia="sl-SI"/>
        </w:rPr>
        <w:t>linij</w:t>
      </w:r>
      <w:r w:rsidRPr="00AF1B04">
        <w:rPr>
          <w:rFonts w:eastAsia="Times New Roman" w:cs="Arial"/>
          <w:b/>
          <w:bCs/>
          <w:color w:val="444444"/>
          <w:sz w:val="24"/>
          <w:szCs w:val="24"/>
          <w:lang w:eastAsia="sl-SI"/>
        </w:rPr>
        <w:t>ski prevoz potnikov na relaciji</w:t>
      </w:r>
      <w:r w:rsidRPr="00AF1B04">
        <w:rPr>
          <w:rFonts w:eastAsia="Times New Roman" w:cs="Arial"/>
          <w:b/>
          <w:bCs/>
          <w:color w:val="444444"/>
          <w:sz w:val="24"/>
          <w:szCs w:val="24"/>
          <w:lang w:eastAsia="sl-SI"/>
        </w:rPr>
        <w:t xml:space="preserve"> Gabrovka-Litija </w:t>
      </w:r>
      <w:r w:rsidRPr="00AF1B04">
        <w:rPr>
          <w:rFonts w:eastAsia="Times New Roman" w:cs="Arial"/>
          <w:color w:val="444444"/>
          <w:sz w:val="24"/>
          <w:szCs w:val="24"/>
          <w:lang w:eastAsia="sl-SI"/>
        </w:rPr>
        <w:t>ter v obratni smeri</w:t>
      </w:r>
      <w:r w:rsidRPr="00AF1B04">
        <w:rPr>
          <w:rFonts w:eastAsia="Times New Roman" w:cs="Arial"/>
          <w:color w:val="444444"/>
          <w:sz w:val="24"/>
          <w:szCs w:val="24"/>
          <w:lang w:eastAsia="sl-SI"/>
        </w:rPr>
        <w:t>. </w:t>
      </w:r>
      <w:r w:rsidRPr="00AF1B04">
        <w:rPr>
          <w:rFonts w:eastAsia="Times New Roman" w:cs="Arial"/>
          <w:color w:val="444444"/>
          <w:sz w:val="24"/>
          <w:szCs w:val="24"/>
          <w:lang w:eastAsia="sl-SI"/>
        </w:rPr>
        <w:t xml:space="preserve">Prevoz lahko koristijo </w:t>
      </w:r>
      <w:r w:rsidRPr="00AF1B04">
        <w:rPr>
          <w:rFonts w:eastAsia="Times New Roman" w:cs="Arial"/>
          <w:color w:val="444444"/>
          <w:sz w:val="24"/>
          <w:szCs w:val="24"/>
          <w:lang w:eastAsia="sl-SI"/>
        </w:rPr>
        <w:t xml:space="preserve"> osnovnošolci, dijaki Gimnazije Litija in drugih srednjih šol, študenti, zaposleni, oskrbovanci VDC ter vsi ostali občani.</w:t>
      </w:r>
      <w:r w:rsidR="00F6093A" w:rsidRPr="00AF1B04">
        <w:rPr>
          <w:rFonts w:eastAsia="Times New Roman" w:cs="Arial"/>
          <w:color w:val="444444"/>
          <w:sz w:val="24"/>
          <w:szCs w:val="24"/>
          <w:lang w:eastAsia="sl-SI"/>
        </w:rPr>
        <w:t xml:space="preserve"> Ker linijski prevoz </w:t>
      </w:r>
      <w:r w:rsidR="00AF1B04" w:rsidRPr="00AF1B04">
        <w:rPr>
          <w:rFonts w:eastAsia="Times New Roman" w:cs="Arial"/>
          <w:color w:val="444444"/>
          <w:sz w:val="24"/>
          <w:szCs w:val="24"/>
          <w:lang w:eastAsia="sl-SI"/>
        </w:rPr>
        <w:t xml:space="preserve">delno </w:t>
      </w:r>
      <w:r w:rsidR="00F6093A" w:rsidRPr="00AF1B04">
        <w:rPr>
          <w:rFonts w:eastAsia="Times New Roman" w:cs="Arial"/>
          <w:color w:val="444444"/>
          <w:sz w:val="24"/>
          <w:szCs w:val="24"/>
          <w:lang w:eastAsia="sl-SI"/>
        </w:rPr>
        <w:t xml:space="preserve">poteka </w:t>
      </w:r>
      <w:r w:rsidR="00AF1B04" w:rsidRPr="00AF1B04">
        <w:rPr>
          <w:rFonts w:eastAsia="Times New Roman" w:cs="Arial"/>
          <w:color w:val="444444"/>
          <w:sz w:val="24"/>
          <w:szCs w:val="24"/>
          <w:lang w:eastAsia="sl-SI"/>
        </w:rPr>
        <w:t>tudi po območju občine Šmartno pri Litiji ga lahko koristijo tudi občani občine Šmartno pri Litiji.</w:t>
      </w:r>
    </w:p>
    <w:p w:rsidR="008F4F6F" w:rsidRPr="00AF1B04" w:rsidRDefault="008F4F6F" w:rsidP="008F4F6F">
      <w:pPr>
        <w:spacing w:after="0" w:line="240" w:lineRule="auto"/>
        <w:rPr>
          <w:rFonts w:eastAsia="Times New Roman" w:cs="Arial"/>
          <w:color w:val="444444"/>
          <w:sz w:val="24"/>
          <w:szCs w:val="24"/>
          <w:lang w:eastAsia="sl-SI"/>
        </w:rPr>
      </w:pPr>
    </w:p>
    <w:p w:rsidR="008F4F6F" w:rsidRPr="00AF1B04" w:rsidRDefault="008F4F6F" w:rsidP="008F4F6F">
      <w:pPr>
        <w:spacing w:after="0" w:line="240" w:lineRule="auto"/>
        <w:rPr>
          <w:rFonts w:eastAsia="Times New Roman" w:cs="Arial"/>
          <w:color w:val="444444"/>
          <w:sz w:val="24"/>
          <w:szCs w:val="24"/>
          <w:lang w:eastAsia="sl-SI"/>
        </w:rPr>
      </w:pPr>
      <w:r w:rsidRPr="00AF1B04">
        <w:rPr>
          <w:rFonts w:eastAsia="Times New Roman" w:cs="Arial"/>
          <w:color w:val="444444"/>
          <w:sz w:val="24"/>
          <w:szCs w:val="24"/>
          <w:lang w:eastAsia="sl-SI"/>
        </w:rPr>
        <w:t xml:space="preserve">Prevoz se uvaja poskusno, predvidoma za obdobje enega leta. </w:t>
      </w:r>
      <w:r w:rsidRPr="00AF1B04">
        <w:rPr>
          <w:rFonts w:eastAsia="Times New Roman" w:cs="Arial"/>
          <w:b/>
          <w:bCs/>
          <w:color w:val="444444"/>
          <w:sz w:val="24"/>
          <w:szCs w:val="24"/>
          <w:lang w:eastAsia="sl-SI"/>
        </w:rPr>
        <w:t xml:space="preserve">Prevoz </w:t>
      </w:r>
      <w:r w:rsidRPr="00AF1B04">
        <w:rPr>
          <w:rFonts w:eastAsia="Times New Roman" w:cs="Arial"/>
          <w:b/>
          <w:bCs/>
          <w:color w:val="444444"/>
          <w:sz w:val="24"/>
          <w:szCs w:val="24"/>
          <w:lang w:eastAsia="sl-SI"/>
        </w:rPr>
        <w:t xml:space="preserve">je </w:t>
      </w:r>
      <w:r w:rsidRPr="00AF1B04">
        <w:rPr>
          <w:rFonts w:eastAsia="Times New Roman" w:cs="Arial"/>
          <w:b/>
          <w:bCs/>
          <w:color w:val="444444"/>
          <w:sz w:val="24"/>
          <w:szCs w:val="24"/>
          <w:lang w:eastAsia="sl-SI"/>
        </w:rPr>
        <w:t xml:space="preserve">za potnike v poskusnem obdobju </w:t>
      </w:r>
      <w:r w:rsidRPr="00AF1B04">
        <w:rPr>
          <w:rFonts w:eastAsia="Times New Roman" w:cs="Arial"/>
          <w:b/>
          <w:bCs/>
          <w:color w:val="444444"/>
          <w:sz w:val="24"/>
          <w:szCs w:val="24"/>
          <w:lang w:eastAsia="sl-SI"/>
        </w:rPr>
        <w:t>do konca meseca junija</w:t>
      </w:r>
      <w:r w:rsidRPr="00AF1B04">
        <w:rPr>
          <w:rFonts w:eastAsia="Times New Roman" w:cs="Arial"/>
          <w:b/>
          <w:bCs/>
          <w:color w:val="444444"/>
          <w:sz w:val="24"/>
          <w:szCs w:val="24"/>
          <w:lang w:eastAsia="sl-SI"/>
        </w:rPr>
        <w:t xml:space="preserve"> BREZPLAČEN</w:t>
      </w:r>
      <w:r w:rsidRPr="00AF1B04">
        <w:rPr>
          <w:rFonts w:eastAsia="Times New Roman" w:cs="Arial"/>
          <w:color w:val="444444"/>
          <w:sz w:val="24"/>
          <w:szCs w:val="24"/>
          <w:lang w:eastAsia="sl-SI"/>
        </w:rPr>
        <w:t xml:space="preserve">, kasneje bo cena prevoza 1 € za vožnjo na kateri koli relaciji. </w:t>
      </w:r>
    </w:p>
    <w:p w:rsidR="00AF1B04" w:rsidRPr="00AF1B04" w:rsidRDefault="00AF1B04" w:rsidP="008F4F6F">
      <w:pPr>
        <w:spacing w:after="0" w:line="240" w:lineRule="auto"/>
        <w:rPr>
          <w:sz w:val="24"/>
          <w:szCs w:val="24"/>
        </w:rPr>
      </w:pPr>
    </w:p>
    <w:p w:rsidR="00AF1B04" w:rsidRPr="00AF1B04" w:rsidRDefault="00AF1B04" w:rsidP="00AF1B0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AF1B04">
        <w:rPr>
          <w:rFonts w:eastAsia="Times New Roman" w:cs="Times New Roman"/>
          <w:sz w:val="24"/>
          <w:szCs w:val="24"/>
          <w:lang w:eastAsia="sl-SI"/>
        </w:rPr>
        <w:t>Omogočen je tudi</w:t>
      </w:r>
      <w:r w:rsidRPr="00AF1B04">
        <w:rPr>
          <w:rFonts w:eastAsia="Times New Roman" w:cs="Times New Roman"/>
          <w:sz w:val="24"/>
          <w:szCs w:val="24"/>
          <w:lang w:eastAsia="sl-SI"/>
        </w:rPr>
        <w:t xml:space="preserve"> prevoz </w:t>
      </w:r>
      <w:r w:rsidRPr="00AF1B04">
        <w:rPr>
          <w:rFonts w:eastAsia="Times New Roman" w:cs="Times New Roman"/>
          <w:sz w:val="24"/>
          <w:szCs w:val="24"/>
          <w:lang w:eastAsia="sl-SI"/>
        </w:rPr>
        <w:t xml:space="preserve">večjim </w:t>
      </w:r>
      <w:r w:rsidRPr="00AF1B04">
        <w:rPr>
          <w:rFonts w:eastAsia="Times New Roman" w:cs="Times New Roman"/>
          <w:sz w:val="24"/>
          <w:szCs w:val="24"/>
          <w:lang w:eastAsia="sl-SI"/>
        </w:rPr>
        <w:t>skupinam potnikov, ki so napovedane vsaj en dan pred vožnjo do 15. ure (telefon Gabrovka: 041-643-777</w:t>
      </w:r>
      <w:r w:rsidRPr="00AF1B04">
        <w:rPr>
          <w:rFonts w:eastAsia="Times New Roman" w:cs="Times New Roman"/>
          <w:sz w:val="24"/>
          <w:szCs w:val="24"/>
          <w:lang w:eastAsia="sl-SI"/>
        </w:rPr>
        <w:t>)</w:t>
      </w:r>
      <w:r w:rsidRPr="00AF1B04">
        <w:rPr>
          <w:rFonts w:eastAsia="Times New Roman" w:cs="Times New Roman"/>
          <w:sz w:val="24"/>
          <w:szCs w:val="24"/>
          <w:lang w:eastAsia="sl-SI"/>
        </w:rPr>
        <w:t xml:space="preserve">. </w:t>
      </w:r>
    </w:p>
    <w:p w:rsidR="00950BAE" w:rsidRPr="00AF1B04" w:rsidRDefault="00950BAE" w:rsidP="00693933">
      <w:pPr>
        <w:rPr>
          <w:rFonts w:cstheme="minorHAnsi"/>
          <w:b/>
          <w:sz w:val="24"/>
          <w:szCs w:val="24"/>
        </w:rPr>
      </w:pPr>
    </w:p>
    <w:p w:rsidR="008F4F6F" w:rsidRPr="00AF1B04" w:rsidRDefault="008F4F6F" w:rsidP="008F4F6F">
      <w:pPr>
        <w:jc w:val="both"/>
        <w:rPr>
          <w:sz w:val="24"/>
          <w:szCs w:val="24"/>
        </w:rPr>
      </w:pPr>
      <w:r w:rsidRPr="00AF1B04">
        <w:rPr>
          <w:sz w:val="24"/>
          <w:szCs w:val="24"/>
        </w:rPr>
        <w:t xml:space="preserve">O morebitnih spremembah voznega reda in drugih pogojih glede prevozov bomo občane obveščali preko spletne strani Občine Litija: </w:t>
      </w:r>
      <w:hyperlink r:id="rId7" w:history="1">
        <w:r w:rsidRPr="00AF1B04">
          <w:rPr>
            <w:rStyle w:val="Hiperpovezava"/>
            <w:sz w:val="24"/>
            <w:szCs w:val="24"/>
          </w:rPr>
          <w:t>https://www.litija.si</w:t>
        </w:r>
      </w:hyperlink>
      <w:r w:rsidRPr="00AF1B04">
        <w:rPr>
          <w:sz w:val="24"/>
          <w:szCs w:val="24"/>
        </w:rPr>
        <w:t>.</w:t>
      </w:r>
    </w:p>
    <w:p w:rsidR="008F4F6F" w:rsidRDefault="008F4F6F" w:rsidP="00693933">
      <w:pPr>
        <w:rPr>
          <w:rFonts w:cstheme="minorHAnsi"/>
          <w:b/>
          <w:sz w:val="28"/>
          <w:szCs w:val="28"/>
        </w:rPr>
      </w:pP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438"/>
        <w:gridCol w:w="789"/>
        <w:gridCol w:w="789"/>
        <w:gridCol w:w="789"/>
        <w:gridCol w:w="789"/>
        <w:gridCol w:w="789"/>
        <w:gridCol w:w="791"/>
      </w:tblGrid>
      <w:tr w:rsidR="00303296" w:rsidRPr="00303296" w:rsidTr="00303296">
        <w:trPr>
          <w:trHeight w:val="303"/>
        </w:trPr>
        <w:tc>
          <w:tcPr>
            <w:tcW w:w="104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b/>
                <w:lang w:eastAsia="sl-SI"/>
              </w:rPr>
            </w:pPr>
            <w:r w:rsidRPr="00303296">
              <w:rPr>
                <w:rFonts w:eastAsia="Times New Roman" w:cstheme="minorHAnsi"/>
                <w:b/>
                <w:lang w:eastAsia="sl-SI"/>
              </w:rPr>
              <w:t>Linija: Gabrovka - Litija</w:t>
            </w:r>
          </w:p>
        </w:tc>
      </w:tr>
      <w:tr w:rsidR="00303296" w:rsidRPr="00303296" w:rsidTr="00303296">
        <w:trPr>
          <w:trHeight w:val="30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Postajališče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95505C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km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95505C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Odhod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95505C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Odhod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95505C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Odhod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95505C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Odhod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95505C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Odhod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95505C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Odhod</w:t>
            </w:r>
          </w:p>
        </w:tc>
      </w:tr>
      <w:tr w:rsidR="00303296" w:rsidRPr="00303296" w:rsidTr="00303296">
        <w:trPr>
          <w:trHeight w:val="30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Gabrovka (šola, trgovina)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05:10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07:10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09:10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13:10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14:53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16:15</w:t>
            </w:r>
          </w:p>
        </w:tc>
      </w:tr>
      <w:tr w:rsidR="00303296" w:rsidRPr="00303296" w:rsidTr="00303296">
        <w:trPr>
          <w:trHeight w:val="30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 xml:space="preserve">Moravče pri Gabrovki (bivša trgovina, pri </w:t>
            </w:r>
            <w:proofErr w:type="spellStart"/>
            <w:r w:rsidRPr="00303296">
              <w:rPr>
                <w:rFonts w:eastAsia="Times New Roman" w:cstheme="minorHAnsi"/>
                <w:lang w:eastAsia="sl-SI"/>
              </w:rPr>
              <w:t>Aparovc</w:t>
            </w:r>
            <w:proofErr w:type="spellEnd"/>
            <w:r w:rsidRPr="00303296">
              <w:rPr>
                <w:rFonts w:eastAsia="Times New Roman" w:cstheme="minorHAnsi"/>
                <w:lang w:eastAsia="sl-SI"/>
              </w:rPr>
              <w:t>')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05:14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07:14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09:14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13:14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14:57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16:19</w:t>
            </w:r>
          </w:p>
        </w:tc>
      </w:tr>
      <w:tr w:rsidR="00303296" w:rsidRPr="00303296" w:rsidTr="00303296">
        <w:trPr>
          <w:trHeight w:val="30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 xml:space="preserve">Štorovje (Škarja, </w:t>
            </w:r>
            <w:proofErr w:type="spellStart"/>
            <w:r w:rsidRPr="00303296">
              <w:rPr>
                <w:rFonts w:eastAsia="Times New Roman" w:cstheme="minorHAnsi"/>
                <w:lang w:eastAsia="sl-SI"/>
              </w:rPr>
              <w:t>Meserko</w:t>
            </w:r>
            <w:proofErr w:type="spellEnd"/>
            <w:r w:rsidRPr="00303296">
              <w:rPr>
                <w:rFonts w:eastAsia="Times New Roman" w:cstheme="minorHAnsi"/>
                <w:lang w:eastAsia="sl-SI"/>
              </w:rPr>
              <w:t>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05:17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07:17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09:17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13:17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15:00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16:22</w:t>
            </w:r>
          </w:p>
        </w:tc>
      </w:tr>
      <w:tr w:rsidR="00303296" w:rsidRPr="00303296" w:rsidTr="00303296">
        <w:trPr>
          <w:trHeight w:val="30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Javorski Pil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05:22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07:22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09:22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13:22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15:05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16:27</w:t>
            </w:r>
          </w:p>
        </w:tc>
      </w:tr>
      <w:tr w:rsidR="00303296" w:rsidRPr="00303296" w:rsidTr="00303296">
        <w:trPr>
          <w:trHeight w:val="30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Pustov mlin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05:31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07:31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09:31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13:31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15:14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16:36</w:t>
            </w:r>
          </w:p>
        </w:tc>
      </w:tr>
      <w:tr w:rsidR="00303296" w:rsidRPr="00303296" w:rsidTr="00303296">
        <w:trPr>
          <w:trHeight w:val="30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Cerovica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05:35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07:35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09:35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13:35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15:18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16:40</w:t>
            </w:r>
          </w:p>
        </w:tc>
      </w:tr>
      <w:tr w:rsidR="00303296" w:rsidRPr="00303296" w:rsidTr="00303296">
        <w:trPr>
          <w:trHeight w:val="30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Selšek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05:36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07:36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09:36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13:36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15:19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16:41</w:t>
            </w:r>
          </w:p>
        </w:tc>
      </w:tr>
      <w:tr w:rsidR="00303296" w:rsidRPr="00303296" w:rsidTr="00303296">
        <w:trPr>
          <w:trHeight w:val="30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proofErr w:type="spellStart"/>
            <w:r w:rsidRPr="00303296">
              <w:rPr>
                <w:rFonts w:eastAsia="Times New Roman" w:cstheme="minorHAnsi"/>
                <w:lang w:eastAsia="sl-SI"/>
              </w:rPr>
              <w:t>Zg.Jablanica</w:t>
            </w:r>
            <w:proofErr w:type="spellEnd"/>
            <w:r w:rsidRPr="00303296">
              <w:rPr>
                <w:rFonts w:eastAsia="Times New Roman" w:cstheme="minorHAnsi"/>
                <w:lang w:eastAsia="sl-SI"/>
              </w:rPr>
              <w:t xml:space="preserve"> (gasilski dom)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05:37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07:37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09:37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13:37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15:20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16:42</w:t>
            </w:r>
          </w:p>
        </w:tc>
      </w:tr>
      <w:tr w:rsidR="00303296" w:rsidRPr="00303296" w:rsidTr="00303296">
        <w:trPr>
          <w:trHeight w:val="30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proofErr w:type="spellStart"/>
            <w:r w:rsidRPr="00303296">
              <w:rPr>
                <w:rFonts w:eastAsia="Times New Roman" w:cstheme="minorHAnsi"/>
                <w:lang w:eastAsia="sl-SI"/>
              </w:rPr>
              <w:t>Sp.Jablanica</w:t>
            </w:r>
            <w:proofErr w:type="spellEnd"/>
            <w:r w:rsidRPr="00303296">
              <w:rPr>
                <w:rFonts w:eastAsia="Times New Roman" w:cstheme="minorHAnsi"/>
                <w:lang w:eastAsia="sl-SI"/>
              </w:rPr>
              <w:t xml:space="preserve"> (pri </w:t>
            </w:r>
            <w:proofErr w:type="spellStart"/>
            <w:r w:rsidRPr="00303296">
              <w:rPr>
                <w:rFonts w:eastAsia="Times New Roman" w:cstheme="minorHAnsi"/>
                <w:lang w:eastAsia="sl-SI"/>
              </w:rPr>
              <w:t>Jeranc</w:t>
            </w:r>
            <w:proofErr w:type="spellEnd"/>
            <w:r w:rsidRPr="00303296">
              <w:rPr>
                <w:rFonts w:eastAsia="Times New Roman" w:cstheme="minorHAnsi"/>
                <w:lang w:eastAsia="sl-SI"/>
              </w:rPr>
              <w:t>')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05:39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07:39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09:39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13:39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15:22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16:44</w:t>
            </w:r>
          </w:p>
        </w:tc>
      </w:tr>
      <w:tr w:rsidR="00303296" w:rsidRPr="00303296" w:rsidTr="00303296">
        <w:trPr>
          <w:trHeight w:val="30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Gradiške Laze (bivša trgovina)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05:41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07:41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09:41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13:41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15:24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16:46</w:t>
            </w:r>
          </w:p>
        </w:tc>
      </w:tr>
      <w:tr w:rsidR="00303296" w:rsidRPr="00303296" w:rsidTr="00303296">
        <w:trPr>
          <w:trHeight w:val="30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Tenetiše pri Litiji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05:43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07:43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09:43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13:43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15:26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16:48</w:t>
            </w:r>
          </w:p>
        </w:tc>
      </w:tr>
      <w:tr w:rsidR="00303296" w:rsidRPr="00303296" w:rsidTr="00303296">
        <w:trPr>
          <w:trHeight w:val="30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Breg pri Litiji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05:44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07:44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09:44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13:44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15:27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16:49</w:t>
            </w:r>
          </w:p>
        </w:tc>
      </w:tr>
      <w:tr w:rsidR="00303296" w:rsidRPr="00303296" w:rsidTr="00303296">
        <w:trPr>
          <w:trHeight w:val="30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Litija kegljišče (nasproti občine)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05:47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07:47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09:47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13:47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15:30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16:52</w:t>
            </w:r>
          </w:p>
        </w:tc>
      </w:tr>
      <w:tr w:rsidR="00303296" w:rsidRPr="00303296" w:rsidTr="00303296">
        <w:trPr>
          <w:trHeight w:val="30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Litija ŽP (železniška postaja)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05:49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07:49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09:49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13:49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15:32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16:54</w:t>
            </w:r>
          </w:p>
        </w:tc>
      </w:tr>
      <w:tr w:rsidR="00303296" w:rsidRPr="00303296" w:rsidTr="00303296">
        <w:trPr>
          <w:trHeight w:val="30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Dobrava obračališče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05:52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07:52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09:52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13:52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15:35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jc w:val="right"/>
              <w:rPr>
                <w:rFonts w:eastAsia="Times New Roman" w:cstheme="minorHAnsi"/>
                <w:lang w:eastAsia="sl-SI"/>
              </w:rPr>
            </w:pPr>
            <w:r w:rsidRPr="00303296">
              <w:rPr>
                <w:rFonts w:eastAsia="Times New Roman" w:cstheme="minorHAnsi"/>
                <w:lang w:eastAsia="sl-SI"/>
              </w:rPr>
              <w:t>16:57</w:t>
            </w:r>
          </w:p>
        </w:tc>
      </w:tr>
      <w:tr w:rsidR="00303296" w:rsidRPr="00303296" w:rsidTr="00303296">
        <w:trPr>
          <w:trHeight w:val="258"/>
        </w:trPr>
        <w:tc>
          <w:tcPr>
            <w:tcW w:w="5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03296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03296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03296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03296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03296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03296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03296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</w:tc>
      </w:tr>
      <w:tr w:rsidR="00303296" w:rsidRPr="00303296" w:rsidTr="00950BAE">
        <w:trPr>
          <w:trHeight w:val="303"/>
        </w:trPr>
        <w:tc>
          <w:tcPr>
            <w:tcW w:w="104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7" w:rsidRPr="00303296" w:rsidRDefault="00AF1B04" w:rsidP="00495077">
            <w:pPr>
              <w:spacing w:after="0" w:line="240" w:lineRule="auto"/>
              <w:rPr>
                <w:rFonts w:eastAsia="Times New Roman" w:cstheme="minorHAnsi"/>
                <w:b/>
                <w:lang w:eastAsia="sl-SI"/>
              </w:rPr>
            </w:pPr>
            <w:r>
              <w:rPr>
                <w:rFonts w:eastAsia="Times New Roman" w:cstheme="minorHAnsi"/>
                <w:b/>
                <w:lang w:eastAsia="sl-SI"/>
              </w:rPr>
              <w:t xml:space="preserve">                                                                                                                                               Lijana Lovše</w:t>
            </w:r>
          </w:p>
        </w:tc>
      </w:tr>
      <w:tr w:rsidR="00AF1B04" w:rsidRPr="00303296" w:rsidTr="00950BAE">
        <w:trPr>
          <w:trHeight w:val="303"/>
        </w:trPr>
        <w:tc>
          <w:tcPr>
            <w:tcW w:w="104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1B04" w:rsidRPr="00303296" w:rsidRDefault="00AF1B04" w:rsidP="00495077">
            <w:pPr>
              <w:spacing w:after="0" w:line="240" w:lineRule="auto"/>
              <w:rPr>
                <w:rFonts w:eastAsia="Times New Roman" w:cstheme="minorHAnsi"/>
                <w:b/>
                <w:lang w:eastAsia="sl-SI"/>
              </w:rPr>
            </w:pPr>
          </w:p>
        </w:tc>
      </w:tr>
      <w:tr w:rsidR="00303296" w:rsidRPr="00303296" w:rsidTr="00950BAE">
        <w:trPr>
          <w:trHeight w:val="258"/>
        </w:trPr>
        <w:tc>
          <w:tcPr>
            <w:tcW w:w="5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7" w:rsidRPr="00303296" w:rsidRDefault="00495077" w:rsidP="004950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  <w:tr w:rsidR="00495077" w:rsidRPr="007762F5" w:rsidTr="00950BAE">
        <w:trPr>
          <w:trHeight w:val="258"/>
        </w:trPr>
        <w:tc>
          <w:tcPr>
            <w:tcW w:w="10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51E" w:rsidRPr="007762F5" w:rsidRDefault="00E8251E" w:rsidP="0049507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</w:tr>
      <w:tr w:rsidR="00495077" w:rsidRPr="007762F5" w:rsidTr="00132288">
        <w:trPr>
          <w:trHeight w:val="258"/>
        </w:trPr>
        <w:tc>
          <w:tcPr>
            <w:tcW w:w="10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323" w:rsidRPr="00C90323" w:rsidRDefault="00C90323" w:rsidP="00C90323">
            <w:pPr>
              <w:rPr>
                <w:rFonts w:cstheme="minorHAnsi"/>
              </w:rPr>
            </w:pPr>
          </w:p>
        </w:tc>
      </w:tr>
    </w:tbl>
    <w:p w:rsidR="006D2433" w:rsidRPr="006D2433" w:rsidRDefault="006D2433" w:rsidP="00BC683F">
      <w:pPr>
        <w:rPr>
          <w:rFonts w:ascii="Arial Narrow" w:hAnsi="Arial Narrow"/>
        </w:rPr>
      </w:pPr>
    </w:p>
    <w:sectPr w:rsidR="006D2433" w:rsidRPr="006D2433" w:rsidSect="00BC683F">
      <w:footerReference w:type="default" r:id="rId8"/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69" w:rsidRDefault="00D14869" w:rsidP="000C30AB">
      <w:pPr>
        <w:spacing w:after="0" w:line="240" w:lineRule="auto"/>
      </w:pPr>
      <w:r>
        <w:separator/>
      </w:r>
    </w:p>
  </w:endnote>
  <w:endnote w:type="continuationSeparator" w:id="0">
    <w:p w:rsidR="00D14869" w:rsidRDefault="00D14869" w:rsidP="000C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1D" w:rsidRPr="00EA341D" w:rsidRDefault="00EA341D" w:rsidP="00EA341D">
    <w:pPr>
      <w:pStyle w:val="Noga"/>
      <w:tabs>
        <w:tab w:val="clear" w:pos="4536"/>
        <w:tab w:val="clear" w:pos="9072"/>
        <w:tab w:val="left" w:pos="4357"/>
        <w:tab w:val="left" w:pos="7630"/>
      </w:tabs>
      <w:rPr>
        <w:noProof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69" w:rsidRDefault="00D14869" w:rsidP="000C30AB">
      <w:pPr>
        <w:spacing w:after="0" w:line="240" w:lineRule="auto"/>
      </w:pPr>
      <w:r>
        <w:separator/>
      </w:r>
    </w:p>
  </w:footnote>
  <w:footnote w:type="continuationSeparator" w:id="0">
    <w:p w:rsidR="00D14869" w:rsidRDefault="00D14869" w:rsidP="000C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3156"/>
    <w:multiLevelType w:val="hybridMultilevel"/>
    <w:tmpl w:val="D97863A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297EC9"/>
    <w:multiLevelType w:val="hybridMultilevel"/>
    <w:tmpl w:val="EDA21FAA"/>
    <w:lvl w:ilvl="0" w:tplc="F2A8AD6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13B08"/>
    <w:multiLevelType w:val="hybridMultilevel"/>
    <w:tmpl w:val="D4F8C9FE"/>
    <w:lvl w:ilvl="0" w:tplc="9EF0E1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33"/>
    <w:rsid w:val="00046887"/>
    <w:rsid w:val="000C30AB"/>
    <w:rsid w:val="00124AE9"/>
    <w:rsid w:val="00126D38"/>
    <w:rsid w:val="00132288"/>
    <w:rsid w:val="00303296"/>
    <w:rsid w:val="003036E0"/>
    <w:rsid w:val="00367A36"/>
    <w:rsid w:val="003961F2"/>
    <w:rsid w:val="003A3B99"/>
    <w:rsid w:val="003D1E47"/>
    <w:rsid w:val="00455C26"/>
    <w:rsid w:val="00495077"/>
    <w:rsid w:val="00521F8C"/>
    <w:rsid w:val="005A5DF7"/>
    <w:rsid w:val="00675584"/>
    <w:rsid w:val="00681103"/>
    <w:rsid w:val="00693933"/>
    <w:rsid w:val="006A67C7"/>
    <w:rsid w:val="006A6BF8"/>
    <w:rsid w:val="006D16CF"/>
    <w:rsid w:val="006D2433"/>
    <w:rsid w:val="00761C31"/>
    <w:rsid w:val="007762F5"/>
    <w:rsid w:val="00792FC3"/>
    <w:rsid w:val="007A4B5B"/>
    <w:rsid w:val="007E794E"/>
    <w:rsid w:val="007F0A84"/>
    <w:rsid w:val="008F4137"/>
    <w:rsid w:val="008F4F6F"/>
    <w:rsid w:val="00907BCC"/>
    <w:rsid w:val="00950BAE"/>
    <w:rsid w:val="0095505C"/>
    <w:rsid w:val="009F5669"/>
    <w:rsid w:val="00AA71E1"/>
    <w:rsid w:val="00AF1B04"/>
    <w:rsid w:val="00B70D28"/>
    <w:rsid w:val="00BA45F7"/>
    <w:rsid w:val="00BB2CA7"/>
    <w:rsid w:val="00BC683F"/>
    <w:rsid w:val="00C07460"/>
    <w:rsid w:val="00C90323"/>
    <w:rsid w:val="00D14869"/>
    <w:rsid w:val="00D258EF"/>
    <w:rsid w:val="00D41B14"/>
    <w:rsid w:val="00D9233F"/>
    <w:rsid w:val="00DB29FF"/>
    <w:rsid w:val="00E51E1F"/>
    <w:rsid w:val="00E8251E"/>
    <w:rsid w:val="00E87205"/>
    <w:rsid w:val="00EA341D"/>
    <w:rsid w:val="00EA5400"/>
    <w:rsid w:val="00EA6E1B"/>
    <w:rsid w:val="00F6093A"/>
    <w:rsid w:val="00F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596A4A"/>
  <w15:chartTrackingRefBased/>
  <w15:docId w15:val="{0C120665-E75D-421D-A206-6B53E0D8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6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36E0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C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30AB"/>
  </w:style>
  <w:style w:type="paragraph" w:styleId="Noga">
    <w:name w:val="footer"/>
    <w:basedOn w:val="Navaden"/>
    <w:link w:val="NogaZnak"/>
    <w:uiPriority w:val="99"/>
    <w:unhideWhenUsed/>
    <w:rsid w:val="000C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30AB"/>
  </w:style>
  <w:style w:type="paragraph" w:styleId="Odstavekseznama">
    <w:name w:val="List Paragraph"/>
    <w:basedOn w:val="Navaden"/>
    <w:uiPriority w:val="34"/>
    <w:qFormat/>
    <w:rsid w:val="003961F2"/>
    <w:pPr>
      <w:ind w:left="720"/>
      <w:contextualSpacing/>
    </w:pPr>
  </w:style>
  <w:style w:type="character" w:styleId="Hiperpovezava">
    <w:name w:val="Hyperlink"/>
    <w:uiPriority w:val="99"/>
    <w:semiHidden/>
    <w:unhideWhenUsed/>
    <w:rsid w:val="008F4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tij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Pirnavar</dc:creator>
  <cp:keywords/>
  <dc:description/>
  <cp:lastModifiedBy>Lijana Lovše</cp:lastModifiedBy>
  <cp:revision>5</cp:revision>
  <cp:lastPrinted>2017-12-29T09:05:00Z</cp:lastPrinted>
  <dcterms:created xsi:type="dcterms:W3CDTF">2018-04-19T06:11:00Z</dcterms:created>
  <dcterms:modified xsi:type="dcterms:W3CDTF">2018-04-19T06:41:00Z</dcterms:modified>
</cp:coreProperties>
</file>